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E13A" w14:textId="77777777" w:rsidR="00BB4AF5" w:rsidRDefault="00BB4AF5" w:rsidP="00BB4AF5">
      <w:pPr>
        <w:pStyle w:val="Ttulo"/>
        <w:jc w:val="center"/>
      </w:pPr>
    </w:p>
    <w:p w14:paraId="276B1652" w14:textId="77777777" w:rsidR="00BB4AF5" w:rsidRDefault="00BB4AF5" w:rsidP="00BB4AF5">
      <w:pPr>
        <w:pStyle w:val="Ttulo"/>
        <w:jc w:val="center"/>
      </w:pPr>
    </w:p>
    <w:p w14:paraId="17A053A2" w14:textId="77777777" w:rsidR="00BB4AF5" w:rsidRDefault="00BB4AF5" w:rsidP="00BB4AF5">
      <w:pPr>
        <w:pStyle w:val="Ttulo"/>
        <w:jc w:val="center"/>
      </w:pPr>
    </w:p>
    <w:p w14:paraId="4D6A5290" w14:textId="77777777" w:rsidR="00BB4AF5" w:rsidRDefault="00BB4AF5" w:rsidP="00BB4AF5">
      <w:pPr>
        <w:pStyle w:val="Ttulo"/>
        <w:jc w:val="center"/>
      </w:pPr>
    </w:p>
    <w:p w14:paraId="5CD9AD1F" w14:textId="7CB52C1D" w:rsidR="00BB4AF5" w:rsidRDefault="005A3669" w:rsidP="00BB4AF5">
      <w:pPr>
        <w:pStyle w:val="Ttulo"/>
        <w:jc w:val="center"/>
      </w:pPr>
      <w:r>
        <w:t>Proyecto TFM</w:t>
      </w:r>
    </w:p>
    <w:p w14:paraId="3C8AD9B5" w14:textId="77777777" w:rsidR="00BB4AF5" w:rsidRDefault="00BB4AF5" w:rsidP="00BB4AF5">
      <w:pPr>
        <w:pStyle w:val="Ttulo"/>
        <w:jc w:val="center"/>
      </w:pPr>
    </w:p>
    <w:p w14:paraId="11489878" w14:textId="25D3770C" w:rsidR="005A3669" w:rsidRDefault="005A3669" w:rsidP="00BB4AF5">
      <w:pPr>
        <w:pStyle w:val="Ttulo"/>
        <w:jc w:val="center"/>
      </w:pPr>
      <w:r>
        <w:t>Juan Manuel Velázquez</w:t>
      </w:r>
    </w:p>
    <w:p w14:paraId="4DE8988F" w14:textId="77777777" w:rsidR="00BB4AF5" w:rsidRDefault="00BB4AF5" w:rsidP="00BB4AF5"/>
    <w:p w14:paraId="58D6ADE1" w14:textId="77777777" w:rsidR="00BB4AF5" w:rsidRDefault="00BB4AF5" w:rsidP="00BB4AF5"/>
    <w:p w14:paraId="36E8B548" w14:textId="77777777" w:rsidR="00BB4AF5" w:rsidRDefault="00BB4AF5" w:rsidP="00BB4AF5"/>
    <w:p w14:paraId="69B1638C" w14:textId="77777777" w:rsidR="00BB4AF5" w:rsidRDefault="00BB4AF5" w:rsidP="00BB4AF5"/>
    <w:p w14:paraId="58200424" w14:textId="1996A8E5" w:rsidR="00BB4AF5" w:rsidRPr="00BB4AF5" w:rsidRDefault="00BB4AF5" w:rsidP="00BB4AF5">
      <w:r>
        <w:fldChar w:fldCharType="begin"/>
      </w:r>
      <w:r>
        <w:instrText xml:space="preserve"> INCLUDEPICTURE "/Users/juanmanuel/Library/Group Containers/UBF8T346G9.ms/WebArchiveCopyPasteTempFiles/com.microsoft.Word/jWJcpVJJcxCvxV7+D5PYsmXLli1btmzZsmXLli1btv4G+n8Gwk4SmreNcAAAAABJRU5ErkJggg==" \* MERGEFORMATINET </w:instrText>
      </w:r>
      <w:r>
        <w:fldChar w:fldCharType="separate"/>
      </w:r>
      <w:r>
        <w:rPr>
          <w:noProof/>
        </w:rPr>
        <w:drawing>
          <wp:anchor distT="0" distB="0" distL="114300" distR="114300" simplePos="0" relativeHeight="251658240" behindDoc="0" locked="0" layoutInCell="1" allowOverlap="1" wp14:anchorId="46003498" wp14:editId="676E301C">
            <wp:simplePos x="0" y="0"/>
            <wp:positionH relativeFrom="margin">
              <wp:align>center</wp:align>
            </wp:positionH>
            <wp:positionV relativeFrom="margin">
              <wp:align>center</wp:align>
            </wp:positionV>
            <wp:extent cx="4572000" cy="1383665"/>
            <wp:effectExtent l="0" t="0" r="0" b="635"/>
            <wp:wrapSquare wrapText="bothSides"/>
            <wp:docPr id="2030103996" name="Picture 203010399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03996" name="Imagen 1" descr="Texto&#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383665"/>
                    </a:xfrm>
                    <a:prstGeom prst="rect">
                      <a:avLst/>
                    </a:prstGeom>
                    <a:noFill/>
                    <a:ln>
                      <a:noFill/>
                    </a:ln>
                  </pic:spPr>
                </pic:pic>
              </a:graphicData>
            </a:graphic>
          </wp:anchor>
        </w:drawing>
      </w:r>
      <w:r>
        <w:fldChar w:fldCharType="end"/>
      </w:r>
    </w:p>
    <w:p w14:paraId="655C8183" w14:textId="3A551929" w:rsidR="005A3669" w:rsidRDefault="000951F7" w:rsidP="00E70790">
      <w:r>
        <w:br w:type="page"/>
      </w:r>
    </w:p>
    <w:p w14:paraId="067F6DB6" w14:textId="0B618032" w:rsidR="000951F7" w:rsidRDefault="00867F2B" w:rsidP="00E70790">
      <w:pPr>
        <w:pStyle w:val="Ttulo1"/>
        <w:numPr>
          <w:ilvl w:val="0"/>
          <w:numId w:val="3"/>
        </w:numPr>
      </w:pPr>
      <w:r>
        <w:lastRenderedPageBreak/>
        <w:t>Título del trabajo</w:t>
      </w:r>
    </w:p>
    <w:p w14:paraId="5A7E6161" w14:textId="77777777" w:rsidR="00E70790" w:rsidRPr="00E70790" w:rsidRDefault="00E70790" w:rsidP="00E70790"/>
    <w:p w14:paraId="6C825229" w14:textId="38EC3ABC" w:rsidR="005A3669" w:rsidRPr="00E70790" w:rsidRDefault="005A3669" w:rsidP="00E70790">
      <w:pPr>
        <w:rPr>
          <w:rFonts w:asciiTheme="majorHAnsi" w:hAnsiTheme="majorHAnsi" w:cstheme="majorHAnsi"/>
          <w:b/>
          <w:bCs/>
          <w:i/>
          <w:iCs/>
          <w:sz w:val="28"/>
          <w:szCs w:val="28"/>
        </w:rPr>
      </w:pPr>
      <w:r w:rsidRPr="00E70790">
        <w:rPr>
          <w:rFonts w:asciiTheme="majorHAnsi" w:hAnsiTheme="majorHAnsi" w:cstheme="majorHAnsi"/>
          <w:b/>
          <w:bCs/>
          <w:i/>
          <w:iCs/>
          <w:sz w:val="28"/>
          <w:szCs w:val="28"/>
        </w:rPr>
        <w:t>“Avanzando hacia la electrificación del transporte: Desafíos en la Unión Europea”.</w:t>
      </w:r>
    </w:p>
    <w:p w14:paraId="22D533AA" w14:textId="1BA1B87E" w:rsidR="00867F2B" w:rsidRDefault="000951F7" w:rsidP="00E70790">
      <w:pPr>
        <w:pStyle w:val="Ttulo1"/>
        <w:numPr>
          <w:ilvl w:val="0"/>
          <w:numId w:val="3"/>
        </w:numPr>
      </w:pPr>
      <w:r>
        <w:t>Introducción</w:t>
      </w:r>
    </w:p>
    <w:p w14:paraId="0456C3BD" w14:textId="77777777" w:rsidR="000951F7" w:rsidRPr="000951F7" w:rsidRDefault="000951F7" w:rsidP="00E70790"/>
    <w:p w14:paraId="6F3F7B67" w14:textId="4ED3379A" w:rsidR="004829B2" w:rsidRPr="00E70790" w:rsidRDefault="004829B2" w:rsidP="00E70790">
      <w:r w:rsidRPr="00E70790">
        <w:t>El presente proyecto tiene como propósito abordar el complejo panorama de la transformación en el mercado automotriz europeo, centrándose en</w:t>
      </w:r>
      <w:r w:rsidR="00DB1ADE" w:rsidRPr="00E70790">
        <w:t xml:space="preserve"> el impacto que generan factores</w:t>
      </w:r>
      <w:r w:rsidRPr="00E70790">
        <w:t xml:space="preserve"> demográficos, comportamientos del consumidor</w:t>
      </w:r>
      <w:r w:rsidR="003A3C6C">
        <w:t xml:space="preserve"> y </w:t>
      </w:r>
      <w:r w:rsidRPr="00E70790">
        <w:t>políticas gubernamentales</w:t>
      </w:r>
      <w:r w:rsidR="002A5397">
        <w:t xml:space="preserve"> sobre la </w:t>
      </w:r>
      <w:r w:rsidRPr="00E70790">
        <w:t>transición hacia la movilidad eléctrica. Este proyecto de investigación surge en respuesta a la creciente importancia de entender cómo los cambios en la Unión Europea</w:t>
      </w:r>
      <w:r w:rsidR="00510A70">
        <w:t xml:space="preserve"> (UE)</w:t>
      </w:r>
      <w:r w:rsidRPr="00E70790">
        <w:t xml:space="preserve"> influyen en el consumo de vehículos, así como en las dinámicas económicas, sociales y ambientales asociadas.</w:t>
      </w:r>
    </w:p>
    <w:p w14:paraId="2592DE54" w14:textId="6DBBDF2D" w:rsidR="004829B2" w:rsidRDefault="004829B2" w:rsidP="00E70790">
      <w:r>
        <w:t xml:space="preserve">La elección de este </w:t>
      </w:r>
      <w:r w:rsidR="0091254D">
        <w:t>tema</w:t>
      </w:r>
      <w:r>
        <w:t xml:space="preserve"> es el resultado de la convergencia de varias motivaciones y necesidades. En primer lugar, la Unión Europea, como entidad geopolítica y económica, ha experimentado cambios demográficos significativos que inciden directamente en las preferencias y comportamientos de los consumidores, especialmente en el ámbito automotriz. Estos cambios demográficos no solo reflejan una evolución en la estructura de la población, sino que también son indicativos de una sociedad en constante transformación, donde aspectos como el envejecimiento de la población, las migraciones internas y externas</w:t>
      </w:r>
      <w:r w:rsidR="0092088E">
        <w:t>, sumado a</w:t>
      </w:r>
      <w:r w:rsidR="00317CFF">
        <w:t xml:space="preserve"> </w:t>
      </w:r>
      <w:r>
        <w:t>las nuevas dinámicas familiares</w:t>
      </w:r>
      <w:r w:rsidR="002628F8">
        <w:t xml:space="preserve">, </w:t>
      </w:r>
      <w:r w:rsidR="005828AC">
        <w:t xml:space="preserve">han </w:t>
      </w:r>
      <w:r>
        <w:t>desempeña</w:t>
      </w:r>
      <w:r w:rsidR="005828AC">
        <w:t>do</w:t>
      </w:r>
      <w:r>
        <w:t xml:space="preserve"> un papel crucial en la configuración del mercado automotriz.</w:t>
      </w:r>
    </w:p>
    <w:p w14:paraId="449CB2E0" w14:textId="1CEFB57D" w:rsidR="004829B2" w:rsidRDefault="004829B2" w:rsidP="00E70790">
      <w:r>
        <w:t>En segundo lugar, la transición hacia la movilidad eléctrica ha emergido como un fenómeno de relevancia global y la Unión Europea se ha posicionado como un actor clave en esta transformación. La creciente conciencia ambiental, las regulaciones gubernamentales y el impulso hacia la sostenibilidad han posicionado a los vehículos eléctricos en el centro del debate sobre el futuro de la movilidad. Analizar cómo estos factores influyen en las decisiones de los consumidores y en la estructura del mercado es esencial para comprender el papel de la UE en la transición hacia una movilidad más sostenible.</w:t>
      </w:r>
    </w:p>
    <w:p w14:paraId="3CD25ECE" w14:textId="71F6E250" w:rsidR="004829B2" w:rsidRDefault="004829B2" w:rsidP="00E70790">
      <w:r>
        <w:t xml:space="preserve">En tercer lugar, la elección de este tema se fundamenta en la relevancia contemporánea de las políticas gubernamentales y las acciones adoptadas por países pioneros en el desarrollo de la movilidad eléctrica. Noruega, China, la Unión Europea y Estados Unidos se destacan como actores cruciales en la promoción y adopción de vehículos eléctricos, y su experiencia proporciona valiosas lecciones que pueden ser aplicadas en </w:t>
      </w:r>
      <w:r w:rsidR="008A7FD2">
        <w:t>otros mercados</w:t>
      </w:r>
      <w:r>
        <w:t>.</w:t>
      </w:r>
    </w:p>
    <w:p w14:paraId="63828345" w14:textId="275500DD" w:rsidR="004829B2" w:rsidRDefault="004829B2" w:rsidP="00E70790">
      <w:r>
        <w:t>En este contexto, la investigación se orientará hacia el análisis de datos demográficos, el estudio del impacto ambiental, la evaluación de las políticas gubernamentales y las lecciones aprendidas de las experiencias de otros países. Con este enfoque multidimensional, la tesis buscará no solo entender las complejidades del presente sino también arrojar luz sobre posibles escenarios futuros en el mercado automotriz de la Unión Europea.</w:t>
      </w:r>
    </w:p>
    <w:p w14:paraId="6A4D6E9A" w14:textId="094C37CB" w:rsidR="0091254D" w:rsidRDefault="0091254D" w:rsidP="00E70790">
      <w:r>
        <w:t xml:space="preserve">El propósito fundamental de esta investigación es llevar a cabo un análisis de la situación actual de la industria automovilística en general y en la Unión Europea, con un enfoque específico en la evolución reciente del sector hacia la movilidad eléctrica. </w:t>
      </w:r>
    </w:p>
    <w:p w14:paraId="1446BE00" w14:textId="5FA07549" w:rsidR="0091254D" w:rsidRDefault="0091254D" w:rsidP="00E70790">
      <w:r>
        <w:lastRenderedPageBreak/>
        <w:t>La investigación se propone explorar en profundidad los cambios demográficos en la UE y comprender cómo estos factores han influido en las preferencias y decisiones de los consumidores en el ámbito automotriz. Asimismo, se busca evaluar el impacto de la movilidad eléctrica, no solo en términos de reducción de emisiones de CO2, sino también en el consumo de recursos y su contribución general a la sostenibilidad ambiental.</w:t>
      </w:r>
    </w:p>
    <w:p w14:paraId="78699652" w14:textId="305CA69F" w:rsidR="0091254D" w:rsidRDefault="0091254D" w:rsidP="00E70790">
      <w:r>
        <w:t>Otro objetivo clave es analizar las políticas gubernamentales y acuerdos multilaterales que han respaldado o dificultado la transición hacia la movilidad eléctrica en la UE. Esto implica destacar las lecciones aprendidas de experiencias a nivel global para comprender mejor los elementos que han contribuido al éxito o los desafíos encontrados.</w:t>
      </w:r>
    </w:p>
    <w:p w14:paraId="1AC3A522" w14:textId="442A932B" w:rsidR="0091254D" w:rsidRDefault="0091254D" w:rsidP="00E70790">
      <w:r>
        <w:t>En el ámbito del comportamiento del consumidor, la investigación se propone analizar cómo los cambios demográficos y las consideraciones ambientales han influido en las decisiones de compra, incluyendo la adopción de vehículos eléctricos. Se busca identificar patrones y tendencias que puedan arrojar luz sobre el futuro de la movilidad en la región.</w:t>
      </w:r>
    </w:p>
    <w:p w14:paraId="24A2FDA5" w14:textId="663CC3A6" w:rsidR="0091254D" w:rsidRDefault="0091254D" w:rsidP="00E70790">
      <w:r>
        <w:t>Por último, la investigación tiene como objetivo identificar los desafíos y oportunidades específicos que enfrenta la industria automovilística en la Unión Europea durante su transición hacia la movilidad eléctrica. Esto incluye la identificación de barreras a superar y la exploración de posibilidades para maximizar beneficios económicos y ambientales.</w:t>
      </w:r>
    </w:p>
    <w:p w14:paraId="635C6CE9" w14:textId="2BFDD02C" w:rsidR="00EC7957" w:rsidRDefault="00EC7957" w:rsidP="00E70790">
      <w:r>
        <w:t>La industria automovilística se encuentra actualmente en un estado de inestabilidad debido a una serie de causas interrelacionadas que han redefinido su panorama. Entre estas causas, destaca la significativa transición hacia la movilidad eléctrica. La creciente conciencia ambiental y las restricciones normativas relacionadas con las emisiones han propiciado una rápida transformación en la preferencia del consumidor y en las estrategias de producción. Este cambio, aunque es esencial para abordar los problemas medioambientales, ha generado desafíos considerables para los fabricantes tradicionales que han basado su modelo de negocio en la producción de vehículos con motores de combustión interna. La necesidad de invertir masivamente en el desarrollo de vehículos eléctricos, junto con la construcción de una infraestructura de carga adecuada, representa un desafío financiero y logístico considerable para la industria.</w:t>
      </w:r>
    </w:p>
    <w:p w14:paraId="6AB82ED9" w14:textId="4327FB88" w:rsidR="00EC7957" w:rsidRDefault="00EC7957" w:rsidP="00E70790">
      <w:r>
        <w:t>Además, la incertidumbre sobre la disponibilidad y los costos de las materias primas necesarias para la fabricación de vehículos eléctricos, como las baterías, agrega una capa adicional de complejidad a la estabilidad financiera de la industria. La dependencia de recursos críticos y la volatilidad en los precios de estos componentes contribuyen a la inestabilidad general del sector.</w:t>
      </w:r>
    </w:p>
    <w:p w14:paraId="5086355C" w14:textId="6FE9582F" w:rsidR="00EC7957" w:rsidRDefault="00EC7957" w:rsidP="00E70790">
      <w:r>
        <w:t>Otro factor que contribuye a la inestabilidad es la disrupción tecnológica. La rápida evolución de las tecnologías digitales y la integración de la inteligencia artificial en los vehículos han llevado a una creciente competencia no solo entre fabricantes tradicionales, sino también con nuevas empresas tecnológicas. La necesidad de adaptarse a estas innovaciones tecnológicas, así como la competencia en términos de vehículos autónomos y conectividad, agrega presión a la industria automovilística para mantenerse relevante en un mercado en constante cambio.</w:t>
      </w:r>
    </w:p>
    <w:p w14:paraId="4017FFCA" w14:textId="65E903B9" w:rsidR="00EC7957" w:rsidRDefault="00EC7957" w:rsidP="00E70790">
      <w:r>
        <w:t>Por último, la pandemia de COVID-19 ha exacerbado aún más la inestabilidad en la industria automovilística. Las interrupciones en la cadena de suministro, la escasez de microchips y los cambios en el comportamiento del consumidor han afectado significativamente la producción y las ventas de vehículos, generando una incertidumbre adicional en el sector.</w:t>
      </w:r>
    </w:p>
    <w:p w14:paraId="452447B3" w14:textId="39A54FA4" w:rsidR="00761342" w:rsidRDefault="00EC7957" w:rsidP="00E70790">
      <w:r>
        <w:lastRenderedPageBreak/>
        <w:t>En resumen, la convergencia de la transición hacia la movilidad eléctrica, la disrupción tecnológica y los impactos económicos de la pandemia de COVID-19 ha colocado a la industria automovilística en un punto de inestabilidad, requiriendo estrategias innovadoras y adaptativas para superar estos desafíos.</w:t>
      </w:r>
    </w:p>
    <w:p w14:paraId="020C219C" w14:textId="49B46324" w:rsidR="00761342" w:rsidRDefault="00176986" w:rsidP="00E70790">
      <w:pPr>
        <w:pStyle w:val="Ttulo1"/>
        <w:numPr>
          <w:ilvl w:val="0"/>
          <w:numId w:val="3"/>
        </w:numPr>
      </w:pPr>
      <w:r>
        <w:t>Hipótesis</w:t>
      </w:r>
    </w:p>
    <w:p w14:paraId="11DC6618" w14:textId="77777777" w:rsidR="00176986" w:rsidRPr="00176986" w:rsidRDefault="00176986" w:rsidP="00E70790"/>
    <w:p w14:paraId="26720A42" w14:textId="77777777" w:rsidR="00761342" w:rsidRDefault="00761342" w:rsidP="00E70790">
      <w:r>
        <w:t xml:space="preserve">Los cambios demográficos en la Unión Europea han tenido un impacto significativo en el consumo de coches, el poder adquisitivo de los consumidores, así como en sus preferencias y costumbres de compra. Además, la creciente conciencia ambiental y las diferentes regulaciones gubernamentales en la UE han llevado a un aumento en la demanda de vehículos eléctricos. </w:t>
      </w:r>
      <w:r w:rsidRPr="003075E1">
        <w:t>La transición hacia la movilidad eléctrica se respalda en políticas multilaterales, acuerdos internacionales y medidas gubernamentales implementadas por naciones líderes en este ámbito. Estas acciones han establecido un precedente que ha sido adoptado y replicado por otros países en sus propios mercados, consolidando así un movimiento global hacia vehículos más sostenibles.</w:t>
      </w:r>
    </w:p>
    <w:p w14:paraId="300114AF" w14:textId="052868B6" w:rsidR="00035E05" w:rsidRDefault="00761342" w:rsidP="00E70790">
      <w:r>
        <w:t>No obstante, se plantea la hipótesis de que este cambio hacia la movilidad eléctrica también presenta desafíos sustanciales en la Unión Europea.</w:t>
      </w:r>
      <w:r w:rsidR="00801F2C">
        <w:t xml:space="preserve"> </w:t>
      </w:r>
      <w:r w:rsidR="00176761" w:rsidRPr="00801F2C">
        <w:rPr>
          <w:i/>
          <w:iCs/>
        </w:rPr>
        <w:t>¿</w:t>
      </w:r>
      <w:r w:rsidR="00176761">
        <w:rPr>
          <w:i/>
          <w:iCs/>
        </w:rPr>
        <w:t>H</w:t>
      </w:r>
      <w:r w:rsidR="00176761" w:rsidRPr="00801F2C">
        <w:rPr>
          <w:i/>
          <w:iCs/>
        </w:rPr>
        <w:t xml:space="preserve">a experimentado </w:t>
      </w:r>
      <w:r w:rsidR="00176761" w:rsidRPr="00801F2C">
        <w:rPr>
          <w:i/>
          <w:iCs/>
        </w:rPr>
        <w:t>La movilidad eléctrica en la Unión Europea un crecimiento significativo en los últimos años, influenciada por cambios demográficos, mejoras en el poder adquisitivo y políticas gubernamentales</w:t>
      </w:r>
      <w:r w:rsidR="00176761">
        <w:rPr>
          <w:i/>
          <w:iCs/>
        </w:rPr>
        <w:t>?</w:t>
      </w:r>
      <w:r w:rsidR="00176761" w:rsidRPr="00801F2C">
        <w:rPr>
          <w:i/>
          <w:iCs/>
        </w:rPr>
        <w:t xml:space="preserve"> </w:t>
      </w:r>
      <w:r w:rsidR="00176761">
        <w:rPr>
          <w:i/>
          <w:iCs/>
        </w:rPr>
        <w:t>Y</w:t>
      </w:r>
      <w:r w:rsidR="00CD4ECD">
        <w:rPr>
          <w:i/>
          <w:iCs/>
        </w:rPr>
        <w:t xml:space="preserve"> ¿E</w:t>
      </w:r>
      <w:r w:rsidR="00176761" w:rsidRPr="00801F2C">
        <w:rPr>
          <w:i/>
          <w:iCs/>
        </w:rPr>
        <w:t>n qué medida estas variables están interrelacionadas</w:t>
      </w:r>
      <w:r w:rsidR="00176761">
        <w:rPr>
          <w:i/>
          <w:iCs/>
        </w:rPr>
        <w:t>?</w:t>
      </w:r>
      <w:r w:rsidRPr="00801F2C">
        <w:rPr>
          <w:i/>
          <w:iCs/>
        </w:rPr>
        <w:t xml:space="preserve"> </w:t>
      </w:r>
      <w:r>
        <w:t xml:space="preserve">Entre estos desafíos, se destacan la necesidad de una infraestructura de carga más amplia y eficiente, la difícil gestión sobre la transición de los combustibles fósiles a fuentes más ecológicas como el hidrógeno, así como las posibles barreras económicas para la adopción masiva de vehículos eléctricos. Además, se considera que las divergencias entre los estados miembros de la UE en términos de políticas y capacidades económicas podrían plantear desafíos adicionales para la implementación exitosa de medidas unificadas en toda la región. </w:t>
      </w:r>
      <w:bookmarkStart w:id="0" w:name="_Int_gdlcoCCA"/>
      <w:r>
        <w:t>Estos desafíos constituyen elementos críticos que podrían influir en la efectividad de las estrategias de movilidad eléctrica en la UE y deben ser abordados de manera integral para lograr una transición exitosa hacia un parque automotor más sostenible.</w:t>
      </w:r>
      <w:bookmarkEnd w:id="0"/>
    </w:p>
    <w:p w14:paraId="298A3BE8" w14:textId="23E06A6E" w:rsidR="00176986" w:rsidRDefault="00176986" w:rsidP="00E70790">
      <w:pPr>
        <w:pStyle w:val="Ttulo1"/>
        <w:numPr>
          <w:ilvl w:val="0"/>
          <w:numId w:val="3"/>
        </w:numPr>
      </w:pPr>
      <w:r>
        <w:t>Metodología</w:t>
      </w:r>
    </w:p>
    <w:p w14:paraId="3E768A30" w14:textId="77777777" w:rsidR="00B321B0" w:rsidRPr="00B321B0" w:rsidRDefault="00B321B0" w:rsidP="00B321B0"/>
    <w:p w14:paraId="04901C10" w14:textId="63DB141C" w:rsidR="00035E05" w:rsidRDefault="00035E05" w:rsidP="00CD4ECD">
      <w:r>
        <w:t>La metodología propuesta para la tesis se estructurará</w:t>
      </w:r>
      <w:r w:rsidR="00EC1C22">
        <w:t xml:space="preserve"> </w:t>
      </w:r>
      <w:r>
        <w:t>buscando confirmar o refutar la hipótesis planteada. El enfoque metodológico adoptado combinará elementos deductivos e inductivos, permitiendo así una exploración profunda y analítica de la situación de la industria automovilística en la Unión Europea, con especial énfasis en la transición hacia la movilidad eléctrica.</w:t>
      </w:r>
    </w:p>
    <w:p w14:paraId="02D5F9C4" w14:textId="77777777" w:rsidR="00CD4ECD" w:rsidRDefault="00035E05" w:rsidP="00CD4ECD">
      <w:r>
        <w:t>Se llevará a cabo una revisión de la literatura existente sobre la industria automovilística en la Unión Europea, centrándose en trabajos previos relacionados con cambios demográficos, movilidad eléctrica, políticas gubernamentales y comportamiento del consumidor.</w:t>
      </w:r>
      <w:r w:rsidR="004D1324">
        <w:t xml:space="preserve"> Se consultarán fuentes </w:t>
      </w:r>
      <w:r w:rsidR="009E602D">
        <w:t xml:space="preserve">como el </w:t>
      </w:r>
      <w:r w:rsidR="001E341B" w:rsidRPr="006A1A18">
        <w:rPr>
          <w:i/>
          <w:iCs/>
        </w:rPr>
        <w:t>Informe Anual de Vehículos Eléctricos</w:t>
      </w:r>
      <w:r w:rsidR="001E341B">
        <w:t xml:space="preserve"> </w:t>
      </w:r>
      <w:r w:rsidR="006A1A18">
        <w:t>que elabora la</w:t>
      </w:r>
      <w:r w:rsidR="001E341B">
        <w:t xml:space="preserve"> Agencia Internacional de Energía (AIE)</w:t>
      </w:r>
      <w:r w:rsidR="009E602D">
        <w:t>.</w:t>
      </w:r>
      <w:r w:rsidR="0070611A">
        <w:t xml:space="preserve"> </w:t>
      </w:r>
    </w:p>
    <w:p w14:paraId="491F85DA" w14:textId="77777777" w:rsidR="007C2376" w:rsidRDefault="007C2376" w:rsidP="00CD4ECD"/>
    <w:p w14:paraId="494CFE5C" w14:textId="4044EEF6" w:rsidR="00035E05" w:rsidRPr="00CD4ECD" w:rsidRDefault="006A1A18" w:rsidP="00CD4ECD">
      <w:pPr>
        <w:rPr>
          <w:i/>
          <w:iCs/>
        </w:rPr>
      </w:pPr>
      <w:r>
        <w:lastRenderedPageBreak/>
        <w:t xml:space="preserve">Por otro </w:t>
      </w:r>
      <w:r w:rsidR="00262F53">
        <w:t>lado,</w:t>
      </w:r>
      <w:r>
        <w:t xml:space="preserve"> también se consultará</w:t>
      </w:r>
      <w:r w:rsidR="00262F53">
        <w:t>n</w:t>
      </w:r>
      <w:r>
        <w:t xml:space="preserve"> d</w:t>
      </w:r>
      <w:r w:rsidR="001E341B">
        <w:t xml:space="preserve">ocumentos de la Comisión Europea sobre Movilidad </w:t>
      </w:r>
      <w:r w:rsidR="005F51C1">
        <w:t>Sostenible,</w:t>
      </w:r>
      <w:r>
        <w:t xml:space="preserve"> así como</w:t>
      </w:r>
      <w:r w:rsidR="001E341B">
        <w:t xml:space="preserve"> </w:t>
      </w:r>
      <w:r w:rsidR="000F63B0">
        <w:t>r</w:t>
      </w:r>
      <w:r w:rsidR="001E341B">
        <w:t xml:space="preserve">evistas </w:t>
      </w:r>
      <w:r w:rsidR="000F63B0">
        <w:t>e</w:t>
      </w:r>
      <w:r w:rsidR="001E341B">
        <w:t>specializadas:</w:t>
      </w:r>
      <w:r w:rsidR="0070611A">
        <w:t xml:space="preserve"> </w:t>
      </w:r>
      <w:r w:rsidR="001E341B" w:rsidRPr="000F63B0">
        <w:rPr>
          <w:i/>
          <w:iCs/>
        </w:rPr>
        <w:t xml:space="preserve">Electric Vehicle World </w:t>
      </w:r>
      <w:r w:rsidR="000F63B0">
        <w:t>y</w:t>
      </w:r>
      <w:r w:rsidR="001E341B" w:rsidRPr="000F63B0">
        <w:rPr>
          <w:i/>
          <w:iCs/>
        </w:rPr>
        <w:t xml:space="preserve"> EV Magazine</w:t>
      </w:r>
      <w:r w:rsidR="003C218B" w:rsidRPr="000F63B0">
        <w:rPr>
          <w:i/>
          <w:iCs/>
        </w:rPr>
        <w:t>.</w:t>
      </w:r>
      <w:r w:rsidR="00CD4ECD">
        <w:rPr>
          <w:i/>
          <w:iCs/>
        </w:rPr>
        <w:t xml:space="preserve"> </w:t>
      </w:r>
      <w:r w:rsidR="00F0474F">
        <w:t xml:space="preserve">Se incluirán </w:t>
      </w:r>
      <w:r w:rsidR="00F0474F">
        <w:t>bases de datos de organismos gubernamentales, instituciones internacionales y fuentes especializadas en movilidad sostenible.</w:t>
      </w:r>
      <w:r w:rsidR="00F0474F">
        <w:t xml:space="preserve"> </w:t>
      </w:r>
      <w:r w:rsidR="00035E05">
        <w:t>Se utilizarán bases de datos especializadas en la industria automotriz</w:t>
      </w:r>
      <w:r w:rsidR="000F63B0">
        <w:t xml:space="preserve"> y también </w:t>
      </w:r>
      <w:r w:rsidR="00E7407F">
        <w:t xml:space="preserve">el uso </w:t>
      </w:r>
      <w:r w:rsidR="000F63B0">
        <w:t>de la herramienta STATISTA brindada por la Universidad de Barcelona</w:t>
      </w:r>
      <w:r w:rsidR="00E7407F">
        <w:t xml:space="preserve"> para recoger información actualizada de consumo y preferencias de los </w:t>
      </w:r>
      <w:r w:rsidR="00BA1D5B">
        <w:t>compradores</w:t>
      </w:r>
      <w:r w:rsidR="00E7407F">
        <w:t xml:space="preserve">. </w:t>
      </w:r>
    </w:p>
    <w:p w14:paraId="4A4B50E7" w14:textId="77777777" w:rsidR="008B6FAA" w:rsidRDefault="008B6FAA" w:rsidP="00F0474F">
      <w:pPr>
        <w:ind w:left="360"/>
      </w:pPr>
    </w:p>
    <w:p w14:paraId="6FD71436" w14:textId="175A59EB" w:rsidR="00C367D4" w:rsidRDefault="00C1110A" w:rsidP="00C367D4">
      <w:pPr>
        <w:pStyle w:val="Ttulo1"/>
        <w:numPr>
          <w:ilvl w:val="0"/>
          <w:numId w:val="3"/>
        </w:numPr>
      </w:pPr>
      <w:r>
        <w:t>Índice</w:t>
      </w:r>
      <w:r w:rsidR="00982523">
        <w:t xml:space="preserve"> tentativo</w:t>
      </w:r>
      <w:r>
        <w:t xml:space="preserve"> </w:t>
      </w:r>
    </w:p>
    <w:p w14:paraId="292F4604" w14:textId="77777777" w:rsidR="00C367D4" w:rsidRDefault="00C367D4" w:rsidP="00C367D4"/>
    <w:p w14:paraId="64715092" w14:textId="69951DDA" w:rsidR="00C367D4" w:rsidRDefault="00C367D4" w:rsidP="008D1D91">
      <w:pPr>
        <w:pStyle w:val="Prrafodelista"/>
        <w:numPr>
          <w:ilvl w:val="0"/>
          <w:numId w:val="8"/>
        </w:numPr>
      </w:pPr>
      <w:r>
        <w:t>Introducción</w:t>
      </w:r>
    </w:p>
    <w:p w14:paraId="585AF2C4" w14:textId="01D7A9EA" w:rsidR="00C367D4" w:rsidRDefault="00C367D4" w:rsidP="00C367D4">
      <w:r>
        <w:t xml:space="preserve">   1.1 Contextualización del tema</w:t>
      </w:r>
    </w:p>
    <w:p w14:paraId="4F9132CE" w14:textId="14010115" w:rsidR="00C367D4" w:rsidRDefault="00C367D4" w:rsidP="00C367D4">
      <w:r>
        <w:t xml:space="preserve">   1.2 Justificación de la investigación</w:t>
      </w:r>
    </w:p>
    <w:p w14:paraId="72B57C53" w14:textId="73A8CF7B" w:rsidR="00C367D4" w:rsidRDefault="00C367D4" w:rsidP="00C367D4">
      <w:r>
        <w:t xml:space="preserve">   1.3 Objetivos de la investigación</w:t>
      </w:r>
    </w:p>
    <w:p w14:paraId="488A1D42" w14:textId="77777777" w:rsidR="00C367D4" w:rsidRDefault="00C367D4" w:rsidP="00C367D4"/>
    <w:p w14:paraId="60343EA8" w14:textId="2A214C78" w:rsidR="00C367D4" w:rsidRDefault="00C367D4" w:rsidP="00C367D4">
      <w:pPr>
        <w:pStyle w:val="Prrafodelista"/>
        <w:numPr>
          <w:ilvl w:val="0"/>
          <w:numId w:val="8"/>
        </w:numPr>
      </w:pPr>
      <w:r>
        <w:t>Marco Teórico</w:t>
      </w:r>
    </w:p>
    <w:p w14:paraId="7E812112" w14:textId="6EF3BE95" w:rsidR="00C367D4" w:rsidRDefault="00C367D4" w:rsidP="00C367D4">
      <w:r>
        <w:t xml:space="preserve">   2.1 Evolución de la industria automotriz en la Unión Europea</w:t>
      </w:r>
    </w:p>
    <w:p w14:paraId="0ADDEB39" w14:textId="0D1FCE62" w:rsidR="00C367D4" w:rsidRDefault="00C367D4" w:rsidP="00C367D4">
      <w:r>
        <w:t xml:space="preserve">   2.2 Movilidad eléctrica: Conceptos y tendencias globales</w:t>
      </w:r>
    </w:p>
    <w:p w14:paraId="2FF23B24" w14:textId="15DF6F9A" w:rsidR="00C367D4" w:rsidRDefault="00C367D4" w:rsidP="00C367D4">
      <w:r>
        <w:t xml:space="preserve">   2.3 Impacto de los cambios demográficos en el consumo de coches</w:t>
      </w:r>
    </w:p>
    <w:p w14:paraId="3AD91DF5" w14:textId="77777777" w:rsidR="008D1D91" w:rsidRDefault="008D1D91" w:rsidP="00C367D4"/>
    <w:p w14:paraId="26595B52" w14:textId="513B4C98" w:rsidR="00C367D4" w:rsidRDefault="00C367D4" w:rsidP="00C367D4">
      <w:pPr>
        <w:pStyle w:val="Prrafodelista"/>
        <w:numPr>
          <w:ilvl w:val="0"/>
          <w:numId w:val="8"/>
        </w:numPr>
      </w:pPr>
      <w:r>
        <w:t>Factores Demográficos y Consumo de Coches</w:t>
      </w:r>
    </w:p>
    <w:p w14:paraId="246083BC" w14:textId="7B26F72E" w:rsidR="00C367D4" w:rsidRDefault="00C367D4" w:rsidP="00C367D4">
      <w:r>
        <w:t xml:space="preserve">   </w:t>
      </w:r>
      <w:r w:rsidR="008D1D91">
        <w:t>3</w:t>
      </w:r>
      <w:r>
        <w:t>.1 Análisis de datos demográficos sobre la UE</w:t>
      </w:r>
    </w:p>
    <w:p w14:paraId="1C8C22B3" w14:textId="23889197" w:rsidR="00C367D4" w:rsidRDefault="00C367D4" w:rsidP="00C367D4">
      <w:r>
        <w:t xml:space="preserve">   </w:t>
      </w:r>
      <w:r w:rsidR="003C54C6">
        <w:t>3.</w:t>
      </w:r>
      <w:r>
        <w:t>2 Influencia de cambios demográficos en las preferencias del consumidor</w:t>
      </w:r>
    </w:p>
    <w:p w14:paraId="17A816B0" w14:textId="3E8C86CB" w:rsidR="00C367D4" w:rsidRDefault="00C367D4" w:rsidP="00C367D4">
      <w:r>
        <w:t xml:space="preserve">   </w:t>
      </w:r>
      <w:r w:rsidR="003C54C6">
        <w:t>3</w:t>
      </w:r>
      <w:r>
        <w:t>.3 Estudio de casos: Efecto en el consumo de coches europeos</w:t>
      </w:r>
    </w:p>
    <w:p w14:paraId="3865B54F" w14:textId="77777777" w:rsidR="00875D70" w:rsidRDefault="00875D70" w:rsidP="00C367D4"/>
    <w:p w14:paraId="5BBC5124" w14:textId="39B4412C" w:rsidR="00C367D4" w:rsidRDefault="00C367D4" w:rsidP="00C367D4">
      <w:pPr>
        <w:pStyle w:val="Prrafodelista"/>
        <w:numPr>
          <w:ilvl w:val="0"/>
          <w:numId w:val="8"/>
        </w:numPr>
      </w:pPr>
      <w:r>
        <w:t>Movilidad Eléctrica en la UE</w:t>
      </w:r>
    </w:p>
    <w:p w14:paraId="27843BD1" w14:textId="3B83F837" w:rsidR="00C367D4" w:rsidRDefault="00C367D4" w:rsidP="00C367D4">
      <w:r>
        <w:t xml:space="preserve">   </w:t>
      </w:r>
      <w:r w:rsidR="003C54C6">
        <w:t>4</w:t>
      </w:r>
      <w:r>
        <w:t>.1 Estado actual del mercado de vehículos eléctricos en la UE</w:t>
      </w:r>
    </w:p>
    <w:p w14:paraId="2FA9548A" w14:textId="41A22FDB" w:rsidR="00C367D4" w:rsidRDefault="00C367D4" w:rsidP="00C367D4">
      <w:r>
        <w:t xml:space="preserve">   </w:t>
      </w:r>
      <w:r w:rsidR="003C54C6">
        <w:t>4.</w:t>
      </w:r>
      <w:r>
        <w:t>2 Políticas gubernamentales y su impacto en la adopción de vehículos eléctricos</w:t>
      </w:r>
    </w:p>
    <w:p w14:paraId="0E1CEEC1" w14:textId="182D8015" w:rsidR="00C367D4" w:rsidRDefault="00C367D4" w:rsidP="00C367D4">
      <w:r>
        <w:t xml:space="preserve">   </w:t>
      </w:r>
      <w:r w:rsidR="003C54C6">
        <w:t>4</w:t>
      </w:r>
      <w:r>
        <w:t>.3 Desarrollo y tendencias en la infraestructura de carga</w:t>
      </w:r>
    </w:p>
    <w:p w14:paraId="07001392" w14:textId="77777777" w:rsidR="00C367D4" w:rsidRDefault="00C367D4" w:rsidP="00C367D4"/>
    <w:p w14:paraId="5211D062" w14:textId="6FE08257" w:rsidR="00C367D4" w:rsidRDefault="00C367D4" w:rsidP="00C367D4">
      <w:pPr>
        <w:pStyle w:val="Prrafodelista"/>
        <w:numPr>
          <w:ilvl w:val="0"/>
          <w:numId w:val="8"/>
        </w:numPr>
      </w:pPr>
      <w:r>
        <w:t>Impacto Ambiental y Consumo de Recursos</w:t>
      </w:r>
    </w:p>
    <w:p w14:paraId="41D27724" w14:textId="77777777" w:rsidR="006B5A2D" w:rsidRDefault="006B5A2D" w:rsidP="006B5A2D">
      <w:pPr>
        <w:pStyle w:val="Prrafodelista"/>
        <w:ind w:left="1080"/>
      </w:pPr>
    </w:p>
    <w:p w14:paraId="74EC1D8A" w14:textId="77777777" w:rsidR="006B5A2D" w:rsidRDefault="00C367D4" w:rsidP="006B5A2D">
      <w:pPr>
        <w:pStyle w:val="Prrafodelista"/>
        <w:numPr>
          <w:ilvl w:val="1"/>
          <w:numId w:val="10"/>
        </w:numPr>
      </w:pPr>
      <w:r>
        <w:t>Emisiones de CO2 y la movilidad eléctrica</w:t>
      </w:r>
    </w:p>
    <w:p w14:paraId="7CA28FD1" w14:textId="1D80E55F" w:rsidR="00C367D4" w:rsidRDefault="00C367D4" w:rsidP="006B5A2D">
      <w:pPr>
        <w:pStyle w:val="Prrafodelista"/>
        <w:numPr>
          <w:ilvl w:val="1"/>
          <w:numId w:val="10"/>
        </w:numPr>
      </w:pPr>
      <w:r>
        <w:t>Consumo de electricidad y su impacto ambiental</w:t>
      </w:r>
    </w:p>
    <w:p w14:paraId="69237867" w14:textId="49B1B037" w:rsidR="00595088" w:rsidRDefault="00C367D4" w:rsidP="00595088">
      <w:pPr>
        <w:pStyle w:val="Prrafodelista"/>
        <w:numPr>
          <w:ilvl w:val="1"/>
          <w:numId w:val="10"/>
        </w:numPr>
      </w:pPr>
      <w:r>
        <w:t>Reducción del consumo de petróleo y sostenibilidad</w:t>
      </w:r>
    </w:p>
    <w:p w14:paraId="2C666F22" w14:textId="68DC64F5" w:rsidR="009842E3" w:rsidRDefault="009842E3" w:rsidP="009842E3">
      <w:r>
        <w:lastRenderedPageBreak/>
        <w:t xml:space="preserve">    VI.        </w:t>
      </w:r>
      <w:r w:rsidR="00D260F5">
        <w:t xml:space="preserve">  </w:t>
      </w:r>
      <w:r>
        <w:t>Aspectos políticos</w:t>
      </w:r>
    </w:p>
    <w:p w14:paraId="76599845" w14:textId="74F7DD66" w:rsidR="00C367D4" w:rsidRDefault="00C367D4" w:rsidP="00C367D4">
      <w:r>
        <w:t xml:space="preserve">   </w:t>
      </w:r>
      <w:r w:rsidR="00293087">
        <w:t>6</w:t>
      </w:r>
      <w:r>
        <w:t>.1 Acciones políticas de cooperación multilateral</w:t>
      </w:r>
    </w:p>
    <w:p w14:paraId="663374E4" w14:textId="5E0C71EB" w:rsidR="00C367D4" w:rsidRDefault="00C367D4" w:rsidP="00E768A8">
      <w:pPr>
        <w:pStyle w:val="Prrafodelista"/>
        <w:numPr>
          <w:ilvl w:val="1"/>
          <w:numId w:val="11"/>
        </w:numPr>
      </w:pPr>
      <w:r>
        <w:t>Evaluación de las políticas gubernamentales en la UE</w:t>
      </w:r>
    </w:p>
    <w:p w14:paraId="5F184956" w14:textId="77777777" w:rsidR="00C367D4" w:rsidRDefault="00C367D4" w:rsidP="00C367D4"/>
    <w:p w14:paraId="54541277" w14:textId="450FF811" w:rsidR="00C367D4" w:rsidRDefault="00C367D4" w:rsidP="00C367D4">
      <w:pPr>
        <w:pStyle w:val="Prrafodelista"/>
        <w:numPr>
          <w:ilvl w:val="0"/>
          <w:numId w:val="13"/>
        </w:numPr>
      </w:pPr>
      <w:r>
        <w:t>Casos Destacados en Desarrollo de Movilidad Eléctrica</w:t>
      </w:r>
    </w:p>
    <w:p w14:paraId="38391C30" w14:textId="450C4A16" w:rsidR="00C367D4" w:rsidRDefault="00C367D4" w:rsidP="00C367D4">
      <w:r>
        <w:t xml:space="preserve">   </w:t>
      </w:r>
      <w:r w:rsidR="00D260F5">
        <w:t>7</w:t>
      </w:r>
      <w:r>
        <w:t>.1 Noruega: Estrategias y lecciones aprendidas</w:t>
      </w:r>
    </w:p>
    <w:p w14:paraId="1A68344A" w14:textId="4550973F" w:rsidR="00C367D4" w:rsidRDefault="00C367D4" w:rsidP="00C367D4">
      <w:r>
        <w:t xml:space="preserve">   </w:t>
      </w:r>
      <w:r w:rsidR="00D260F5">
        <w:t>7</w:t>
      </w:r>
      <w:r>
        <w:t>.2 China</w:t>
      </w:r>
      <w:r w:rsidR="00446776">
        <w:t>: Gobierno y avances tecnológicos</w:t>
      </w:r>
    </w:p>
    <w:p w14:paraId="2AAACAE9" w14:textId="4C2E8A56" w:rsidR="00C367D4" w:rsidRDefault="00C367D4" w:rsidP="00C367D4">
      <w:r>
        <w:t xml:space="preserve">   </w:t>
      </w:r>
      <w:r w:rsidR="000C6664">
        <w:t>7</w:t>
      </w:r>
      <w:r>
        <w:t>.3 Unión Europea y Estados Unidos: Comparación de enfoques</w:t>
      </w:r>
    </w:p>
    <w:p w14:paraId="3A0B0C49" w14:textId="77777777" w:rsidR="007D38BC" w:rsidRDefault="007D38BC" w:rsidP="00C367D4"/>
    <w:p w14:paraId="3092DD29" w14:textId="08336504" w:rsidR="00C367D4" w:rsidRDefault="00C367D4" w:rsidP="00C367D4">
      <w:pPr>
        <w:pStyle w:val="Prrafodelista"/>
        <w:numPr>
          <w:ilvl w:val="0"/>
          <w:numId w:val="13"/>
        </w:numPr>
      </w:pPr>
      <w:r>
        <w:t>Desafíos y Oportunidades</w:t>
      </w:r>
    </w:p>
    <w:p w14:paraId="354D33B4" w14:textId="6AE51F6F" w:rsidR="00C367D4" w:rsidRDefault="00C367D4" w:rsidP="00C367D4">
      <w:r>
        <w:t xml:space="preserve">   </w:t>
      </w:r>
      <w:r w:rsidR="007D38BC">
        <w:t>8</w:t>
      </w:r>
      <w:r>
        <w:t>.1 Barreras y desafíos en la implementación de medidas</w:t>
      </w:r>
    </w:p>
    <w:p w14:paraId="6DC5568E" w14:textId="10FB8654" w:rsidR="00C367D4" w:rsidRDefault="00C367D4" w:rsidP="00C367D4">
      <w:r>
        <w:t xml:space="preserve">   </w:t>
      </w:r>
      <w:r w:rsidR="007D38BC">
        <w:t>8</w:t>
      </w:r>
      <w:r>
        <w:t>.2 Problemas potenciales en la Unión Europea</w:t>
      </w:r>
    </w:p>
    <w:p w14:paraId="46968171" w14:textId="77777777" w:rsidR="00C367D4" w:rsidRDefault="00C367D4" w:rsidP="00C367D4"/>
    <w:p w14:paraId="2A8E9CB0" w14:textId="2EFE1561" w:rsidR="00C367D4" w:rsidRDefault="00C367D4" w:rsidP="00C367D4">
      <w:pPr>
        <w:pStyle w:val="Prrafodelista"/>
        <w:numPr>
          <w:ilvl w:val="0"/>
          <w:numId w:val="13"/>
        </w:numPr>
      </w:pPr>
      <w:r>
        <w:t xml:space="preserve"> Conclusiones</w:t>
      </w:r>
    </w:p>
    <w:p w14:paraId="62275369" w14:textId="7A89C5AD" w:rsidR="00C367D4" w:rsidRDefault="00C367D4" w:rsidP="00C367D4">
      <w:r>
        <w:t xml:space="preserve">   </w:t>
      </w:r>
      <w:r w:rsidR="007D38BC">
        <w:t>9</w:t>
      </w:r>
      <w:r>
        <w:t>.1 Síntesis de hallazgos</w:t>
      </w:r>
    </w:p>
    <w:p w14:paraId="19B7D7CF" w14:textId="449D492F" w:rsidR="00C367D4" w:rsidRDefault="00C367D4" w:rsidP="00C367D4">
      <w:r>
        <w:t xml:space="preserve">   </w:t>
      </w:r>
      <w:r w:rsidR="007D38BC">
        <w:t>9</w:t>
      </w:r>
      <w:r>
        <w:t>.2 Contribuciones y aportes originales de la investigación</w:t>
      </w:r>
    </w:p>
    <w:p w14:paraId="3CDEF2EC" w14:textId="77777777" w:rsidR="00C367D4" w:rsidRDefault="00C367D4" w:rsidP="00C367D4"/>
    <w:p w14:paraId="12D4F51E" w14:textId="3C679CDF" w:rsidR="00C367D4" w:rsidRDefault="00C367D4" w:rsidP="00C367D4">
      <w:pPr>
        <w:pStyle w:val="Prrafodelista"/>
        <w:numPr>
          <w:ilvl w:val="0"/>
          <w:numId w:val="13"/>
        </w:numPr>
      </w:pPr>
      <w:r>
        <w:t>Recomendaciones y Perspectivas Futuras</w:t>
      </w:r>
    </w:p>
    <w:p w14:paraId="49888ACF" w14:textId="21C4E054" w:rsidR="00C367D4" w:rsidRDefault="00C367D4" w:rsidP="00C367D4">
      <w:r>
        <w:t xml:space="preserve">   1</w:t>
      </w:r>
      <w:r w:rsidR="000B737A">
        <w:t>0</w:t>
      </w:r>
      <w:r>
        <w:t>.1 Propuestas para el desarrollo sostenible de la movilidad en la UE</w:t>
      </w:r>
    </w:p>
    <w:p w14:paraId="1641F427" w14:textId="31A50184" w:rsidR="00C367D4" w:rsidRDefault="00C367D4" w:rsidP="00C367D4">
      <w:r>
        <w:t xml:space="preserve">   1</w:t>
      </w:r>
      <w:r w:rsidR="000B737A">
        <w:t>0</w:t>
      </w:r>
      <w:r>
        <w:t>.2 Áreas para futuras investigaciones</w:t>
      </w:r>
    </w:p>
    <w:p w14:paraId="7B40448C" w14:textId="77777777" w:rsidR="00C367D4" w:rsidRDefault="00C367D4" w:rsidP="00C367D4"/>
    <w:p w14:paraId="6B929A87" w14:textId="0D7C952A" w:rsidR="00C367D4" w:rsidRDefault="00C367D4" w:rsidP="000B737A">
      <w:pPr>
        <w:pStyle w:val="Prrafodelista"/>
        <w:numPr>
          <w:ilvl w:val="0"/>
          <w:numId w:val="13"/>
        </w:numPr>
      </w:pPr>
      <w:r>
        <w:t>Bibliografía</w:t>
      </w:r>
    </w:p>
    <w:p w14:paraId="723F2DFE" w14:textId="77777777" w:rsidR="00C367D4" w:rsidRDefault="00C367D4" w:rsidP="00C367D4"/>
    <w:p w14:paraId="02962684" w14:textId="76422125" w:rsidR="06707BB7" w:rsidRDefault="00C367D4" w:rsidP="06707BB7">
      <w:pPr>
        <w:pStyle w:val="Prrafodelista"/>
        <w:numPr>
          <w:ilvl w:val="0"/>
          <w:numId w:val="13"/>
        </w:numPr>
      </w:pPr>
      <w:r>
        <w:t>Anexos</w:t>
      </w:r>
    </w:p>
    <w:p w14:paraId="02A558D2" w14:textId="77777777" w:rsidR="006662F5" w:rsidRDefault="006662F5" w:rsidP="006662F5">
      <w:pPr>
        <w:pStyle w:val="Prrafodelista"/>
      </w:pPr>
    </w:p>
    <w:p w14:paraId="7BA54A75" w14:textId="40536B96" w:rsidR="006662F5" w:rsidRDefault="006662F5" w:rsidP="006662F5">
      <w:pPr>
        <w:jc w:val="left"/>
      </w:pPr>
      <w:r>
        <w:br w:type="page"/>
      </w:r>
    </w:p>
    <w:p w14:paraId="67F3D901" w14:textId="1155859B" w:rsidR="4A923FC8" w:rsidRDefault="4A923FC8" w:rsidP="19923607">
      <w:r>
        <w:lastRenderedPageBreak/>
        <w:t xml:space="preserve"> </w:t>
      </w:r>
    </w:p>
    <w:p w14:paraId="51A11E93" w14:textId="77777777" w:rsidR="00B007CB" w:rsidRDefault="006A4A25" w:rsidP="00050972">
      <w:pPr>
        <w:pStyle w:val="Ttulo1"/>
        <w:numPr>
          <w:ilvl w:val="0"/>
          <w:numId w:val="3"/>
        </w:numPr>
      </w:pPr>
      <w:r>
        <w:t>Bibliografía a consultar</w:t>
      </w:r>
    </w:p>
    <w:p w14:paraId="20165F63" w14:textId="71EC99E9" w:rsidR="19923607" w:rsidRDefault="19923607" w:rsidP="00BF691D">
      <w:pPr>
        <w:spacing w:line="360" w:lineRule="auto"/>
      </w:pPr>
    </w:p>
    <w:p w14:paraId="751CDB00" w14:textId="77777777" w:rsidR="003C518C" w:rsidRDefault="1A3EBC65" w:rsidP="00BF691D">
      <w:pPr>
        <w:pStyle w:val="Prrafodelista"/>
        <w:numPr>
          <w:ilvl w:val="0"/>
          <w:numId w:val="14"/>
        </w:numPr>
        <w:spacing w:line="360" w:lineRule="auto"/>
        <w:jc w:val="left"/>
        <w:rPr>
          <w:lang w:val="en-US"/>
        </w:rPr>
      </w:pPr>
      <w:r w:rsidRPr="003A3C6C">
        <w:rPr>
          <w:lang w:val="en-US"/>
        </w:rPr>
        <w:t xml:space="preserve">IEA (2023), World Energy Outlook 2023, IEA, Paris </w:t>
      </w:r>
    </w:p>
    <w:p w14:paraId="60E51820" w14:textId="26255747" w:rsidR="009A6CF7" w:rsidRDefault="00C17747" w:rsidP="00BF691D">
      <w:pPr>
        <w:pStyle w:val="Prrafodelista"/>
        <w:numPr>
          <w:ilvl w:val="0"/>
          <w:numId w:val="14"/>
        </w:numPr>
        <w:spacing w:line="360" w:lineRule="auto"/>
        <w:jc w:val="left"/>
        <w:rPr>
          <w:lang w:val="en-US"/>
        </w:rPr>
      </w:pPr>
      <w:hyperlink r:id="rId7" w:history="1">
        <w:r w:rsidR="009A6CF7" w:rsidRPr="00680FA5">
          <w:rPr>
            <w:rStyle w:val="Hipervnculo"/>
            <w:lang w:val="en-US"/>
          </w:rPr>
          <w:t>https://www.iea.org/reports/world-energy-outlook-2023?language=es</w:t>
        </w:r>
      </w:hyperlink>
    </w:p>
    <w:p w14:paraId="1FFDBE99" w14:textId="530CF558" w:rsidR="19923607" w:rsidRPr="009A6CF7" w:rsidRDefault="007CFF65" w:rsidP="00BF691D">
      <w:pPr>
        <w:pStyle w:val="Prrafodelista"/>
        <w:numPr>
          <w:ilvl w:val="0"/>
          <w:numId w:val="14"/>
        </w:numPr>
        <w:spacing w:line="360" w:lineRule="auto"/>
        <w:jc w:val="left"/>
        <w:rPr>
          <w:lang w:val="en-US"/>
        </w:rPr>
      </w:pPr>
      <w:r w:rsidRPr="009A6CF7">
        <w:rPr>
          <w:lang w:val="en-US"/>
        </w:rPr>
        <w:t xml:space="preserve">European Environment Agency. (2022). Transport and Environment Report 2022. </w:t>
      </w:r>
      <w:hyperlink r:id="rId8">
        <w:r w:rsidRPr="4F1D90A2">
          <w:rPr>
            <w:rStyle w:val="Hipervnculo"/>
          </w:rPr>
          <w:t>https://www.eea.europa.eu/publications/transport-and-environment-report-2022/transport-and-environment-report/view</w:t>
        </w:r>
      </w:hyperlink>
      <w:r>
        <w:t>.</w:t>
      </w:r>
    </w:p>
    <w:p w14:paraId="2B4FAFCD" w14:textId="754B9D5A" w:rsidR="003A3DBE" w:rsidRDefault="3E3F94FC" w:rsidP="00BF691D">
      <w:pPr>
        <w:pStyle w:val="Prrafodelista"/>
        <w:numPr>
          <w:ilvl w:val="0"/>
          <w:numId w:val="14"/>
        </w:numPr>
        <w:spacing w:line="360" w:lineRule="auto"/>
        <w:jc w:val="left"/>
      </w:pPr>
      <w:r w:rsidRPr="003A3C6C">
        <w:rPr>
          <w:lang w:val="en-US"/>
        </w:rPr>
        <w:t xml:space="preserve">International Energy Agency. (2022). The Role of E-fuels in </w:t>
      </w:r>
      <w:proofErr w:type="spellStart"/>
      <w:r w:rsidRPr="003A3C6C">
        <w:rPr>
          <w:lang w:val="en-US"/>
        </w:rPr>
        <w:t>Decarbonising</w:t>
      </w:r>
      <w:proofErr w:type="spellEnd"/>
      <w:r w:rsidRPr="003A3C6C">
        <w:rPr>
          <w:lang w:val="en-US"/>
        </w:rPr>
        <w:t xml:space="preserve"> Transport. </w:t>
      </w:r>
      <w:hyperlink r:id="rId9">
        <w:r w:rsidRPr="4F1D90A2">
          <w:rPr>
            <w:rStyle w:val="Hipervnculo"/>
          </w:rPr>
          <w:t>https://www.iea.org/reports/the-role-of-e-fuels-in-decarbonising-transport</w:t>
        </w:r>
      </w:hyperlink>
    </w:p>
    <w:p w14:paraId="1AA933FF" w14:textId="55314938" w:rsidR="007F7472" w:rsidRPr="007F7472" w:rsidRDefault="003A3DBE" w:rsidP="00BF691D">
      <w:pPr>
        <w:pStyle w:val="Prrafodelista"/>
        <w:numPr>
          <w:ilvl w:val="0"/>
          <w:numId w:val="14"/>
        </w:numPr>
        <w:spacing w:line="360" w:lineRule="auto"/>
        <w:jc w:val="left"/>
        <w:rPr>
          <w:lang w:val="en-US"/>
        </w:rPr>
      </w:pPr>
      <w:r w:rsidRPr="003A3DBE">
        <w:rPr>
          <w:lang w:val="en-US"/>
        </w:rPr>
        <w:t xml:space="preserve">European Automobile Manufacturers’ Association (ACEA. </w:t>
      </w:r>
      <w:r>
        <w:t xml:space="preserve">(2023). </w:t>
      </w:r>
      <w:r w:rsidRPr="00780092">
        <w:rPr>
          <w:lang w:val="en-US"/>
        </w:rPr>
        <w:t>*Future Driven Manifesto</w:t>
      </w:r>
      <w:r w:rsidR="001C2765" w:rsidRPr="00780092">
        <w:rPr>
          <w:lang w:val="en-US"/>
        </w:rPr>
        <w:t>*.</w:t>
      </w:r>
      <w:r w:rsidR="004A43BB">
        <w:rPr>
          <w:lang w:val="en-US"/>
        </w:rPr>
        <w:t xml:space="preserve"> </w:t>
      </w:r>
    </w:p>
    <w:p w14:paraId="3C7E363F" w14:textId="049402B9" w:rsidR="00556B27" w:rsidRPr="00556B27" w:rsidRDefault="00C17747" w:rsidP="00BF691D">
      <w:pPr>
        <w:pStyle w:val="Prrafodelista"/>
        <w:spacing w:line="360" w:lineRule="auto"/>
        <w:jc w:val="left"/>
        <w:rPr>
          <w:lang w:val="en-US"/>
        </w:rPr>
      </w:pPr>
      <w:hyperlink r:id="rId10" w:history="1">
        <w:r w:rsidR="009253C7" w:rsidRPr="00680FA5">
          <w:rPr>
            <w:rStyle w:val="Hipervnculo"/>
            <w:lang w:val="en-US"/>
          </w:rPr>
          <w:t>https://www.futuredriven.eu/wp-content/uploads/2023/12/ACEA_FutureDriven_Manifesto.pdf</w:t>
        </w:r>
      </w:hyperlink>
    </w:p>
    <w:p w14:paraId="36D54905" w14:textId="1B1161B4" w:rsidR="00556B27" w:rsidRPr="00556B27" w:rsidRDefault="00556B27" w:rsidP="00BF691D">
      <w:pPr>
        <w:pStyle w:val="Prrafodelista"/>
        <w:numPr>
          <w:ilvl w:val="0"/>
          <w:numId w:val="14"/>
        </w:numPr>
        <w:spacing w:line="360" w:lineRule="auto"/>
        <w:jc w:val="left"/>
      </w:pPr>
      <w:r w:rsidRPr="00556B27">
        <w:t xml:space="preserve">Convención Marco de las Naciones Unidas sobre el Cambio Climático. (2012). *La enmienda de </w:t>
      </w:r>
      <w:r w:rsidR="00D05EC0" w:rsidRPr="00556B27">
        <w:t>Doha. *</w:t>
      </w:r>
      <w:r w:rsidRPr="00556B27">
        <w:t xml:space="preserve"> </w:t>
      </w:r>
      <w:hyperlink r:id="rId11" w:history="1">
        <w:r w:rsidR="00731BF7" w:rsidRPr="00680FA5">
          <w:rPr>
            <w:rStyle w:val="Hipervnculo"/>
          </w:rPr>
          <w:t>https://unfccc.int/process/the-kyoto-protocol/the-doha-amendment</w:t>
        </w:r>
      </w:hyperlink>
    </w:p>
    <w:p w14:paraId="1DE3526C" w14:textId="4542CAA4" w:rsidR="003E1965" w:rsidRDefault="00556B27" w:rsidP="00BF691D">
      <w:pPr>
        <w:pStyle w:val="Prrafodelista"/>
        <w:numPr>
          <w:ilvl w:val="0"/>
          <w:numId w:val="14"/>
        </w:numPr>
        <w:spacing w:line="360" w:lineRule="auto"/>
        <w:jc w:val="left"/>
      </w:pPr>
      <w:r w:rsidRPr="00556B27">
        <w:t xml:space="preserve">Convención Marco de las Naciones Unidas sobre el Cambio Climático. (2016). *El Acuerdo de </w:t>
      </w:r>
      <w:r w:rsidR="00731BF7" w:rsidRPr="00556B27">
        <w:t xml:space="preserve">París. </w:t>
      </w:r>
      <w:hyperlink r:id="rId12" w:history="1">
        <w:r w:rsidR="003E1965" w:rsidRPr="00680FA5">
          <w:rPr>
            <w:rStyle w:val="Hipervnculo"/>
          </w:rPr>
          <w:t>https://unfccc.int/es/process-and-meetings/the-paris-agreement/el-acuerdo-de-paris</w:t>
        </w:r>
      </w:hyperlink>
    </w:p>
    <w:p w14:paraId="43FFD7E3" w14:textId="5006A493" w:rsidR="00B007CB" w:rsidRDefault="00556B27" w:rsidP="00BF691D">
      <w:pPr>
        <w:pStyle w:val="Prrafodelista"/>
        <w:numPr>
          <w:ilvl w:val="0"/>
          <w:numId w:val="14"/>
        </w:numPr>
        <w:spacing w:line="360" w:lineRule="auto"/>
        <w:jc w:val="left"/>
      </w:pPr>
      <w:r w:rsidRPr="00556B27">
        <w:t xml:space="preserve">Convención Marco de las Naciones Unidas sobre el Cambio Climático. (1992). *Qué es la Convención Marco de las Naciones Unidas sobre el Cambio </w:t>
      </w:r>
      <w:r w:rsidR="003E1965" w:rsidRPr="00556B27">
        <w:t>Climático. *</w:t>
      </w:r>
      <w:r w:rsidRPr="00556B27">
        <w:t xml:space="preserve"> </w:t>
      </w:r>
      <w:hyperlink r:id="rId13" w:history="1">
        <w:r w:rsidR="003E1965" w:rsidRPr="00680FA5">
          <w:rPr>
            <w:rStyle w:val="Hipervnculo"/>
          </w:rPr>
          <w:t>https://unfccc.int/es/process-and-meetings/the-convention/que-es-la-convencion-marco-de-las-naciones-unidas-sobre-el-cambio-climatico</w:t>
        </w:r>
      </w:hyperlink>
    </w:p>
    <w:p w14:paraId="4188AD97" w14:textId="64EB911B" w:rsidR="007322B0" w:rsidRDefault="007322B0" w:rsidP="00BF691D">
      <w:pPr>
        <w:pStyle w:val="Prrafodelista"/>
        <w:numPr>
          <w:ilvl w:val="0"/>
          <w:numId w:val="14"/>
        </w:numPr>
        <w:spacing w:line="360" w:lineRule="auto"/>
        <w:jc w:val="left"/>
      </w:pPr>
      <w:r>
        <w:t>"Estrategia Europea sobre Movilidad de Bajas Emisiones" - Comisión Europea</w:t>
      </w:r>
      <w:r w:rsidR="00C66F8C">
        <w:br/>
      </w:r>
      <w:hyperlink r:id="rId14" w:history="1">
        <w:r w:rsidR="00E106B9" w:rsidRPr="00680FA5">
          <w:rPr>
            <w:rStyle w:val="Hipervnculo"/>
          </w:rPr>
          <w:t>https://eur-lex.europa.eu/legal-content/ES/TXT/HTML/?uri=CELEX:52016DC0501&amp;from=nl</w:t>
        </w:r>
      </w:hyperlink>
    </w:p>
    <w:p w14:paraId="4D259B88" w14:textId="19921EE6" w:rsidR="000724B6" w:rsidRDefault="007322B0" w:rsidP="00BF691D">
      <w:pPr>
        <w:pStyle w:val="Prrafodelista"/>
        <w:numPr>
          <w:ilvl w:val="0"/>
          <w:numId w:val="14"/>
        </w:numPr>
        <w:spacing w:line="360" w:lineRule="auto"/>
        <w:jc w:val="left"/>
      </w:pPr>
      <w:r>
        <w:t>"Plan Nacional Integrado de Energ</w:t>
      </w:r>
      <w:r>
        <w:t>ía</w:t>
      </w:r>
      <w:r>
        <w:t xml:space="preserve"> y Clima 2021-2030" - Gobierno de Espa</w:t>
      </w:r>
      <w:r>
        <w:t>ñ</w:t>
      </w:r>
      <w:r>
        <w:t>a</w:t>
      </w:r>
      <w:r w:rsidR="00BB5B29">
        <w:br/>
      </w:r>
      <w:hyperlink r:id="rId15" w:history="1">
        <w:r w:rsidR="00BB5B29" w:rsidRPr="00680FA5">
          <w:rPr>
            <w:rStyle w:val="Hipervnculo"/>
          </w:rPr>
          <w:t>https://www.miteco.gob.es/es/prensa/pniec.html</w:t>
        </w:r>
      </w:hyperlink>
    </w:p>
    <w:p w14:paraId="28A23687" w14:textId="5C2140D8" w:rsidR="007875A3" w:rsidRDefault="007875A3" w:rsidP="00BF691D">
      <w:pPr>
        <w:pStyle w:val="Prrafodelista"/>
        <w:numPr>
          <w:ilvl w:val="0"/>
          <w:numId w:val="14"/>
        </w:numPr>
        <w:spacing w:line="360" w:lineRule="auto"/>
        <w:jc w:val="left"/>
      </w:pPr>
      <w:r>
        <w:t>La referencia en formato APA para el enlace proporcionado sería la siguiente:</w:t>
      </w:r>
    </w:p>
    <w:p w14:paraId="5DDD62AD" w14:textId="1B6E2B7E" w:rsidR="00106ACC" w:rsidRPr="00556B27" w:rsidRDefault="007875A3" w:rsidP="00BF691D">
      <w:pPr>
        <w:pStyle w:val="Prrafodelista"/>
        <w:numPr>
          <w:ilvl w:val="0"/>
          <w:numId w:val="14"/>
        </w:numPr>
        <w:spacing w:line="360" w:lineRule="auto"/>
        <w:jc w:val="left"/>
      </w:pPr>
      <w:r>
        <w:t xml:space="preserve">Consejo de la Unión Europea. </w:t>
      </w:r>
      <w:hyperlink r:id="rId16" w:history="1">
        <w:r w:rsidR="00106ACC" w:rsidRPr="00680FA5">
          <w:rPr>
            <w:rStyle w:val="Hipervnculo"/>
          </w:rPr>
          <w:t>https://www.consilium.europa.eu/es/policies/clean-and-sustainable-mobility</w:t>
        </w:r>
      </w:hyperlink>
    </w:p>
    <w:p w14:paraId="1E54DB05" w14:textId="77777777" w:rsidR="00B007CB" w:rsidRPr="00556B27" w:rsidRDefault="00B007CB" w:rsidP="00B007CB"/>
    <w:p w14:paraId="2B1B719C" w14:textId="2600698C" w:rsidR="00B007CB" w:rsidRPr="00556B27" w:rsidRDefault="00B007CB" w:rsidP="00403E22"/>
    <w:p w14:paraId="3F23BDB0" w14:textId="0D36891C" w:rsidR="00B007CB" w:rsidRDefault="00A12635" w:rsidP="00A12635">
      <w:pPr>
        <w:pStyle w:val="Ttulo1"/>
        <w:numPr>
          <w:ilvl w:val="0"/>
          <w:numId w:val="3"/>
        </w:numPr>
      </w:pPr>
      <w:r>
        <w:t>Cronograma</w:t>
      </w:r>
    </w:p>
    <w:p w14:paraId="110CD82C" w14:textId="5E39AD5C" w:rsidR="00A12635" w:rsidRDefault="00A12635" w:rsidP="00A12635"/>
    <w:p w14:paraId="3B7FA225" w14:textId="1FF1FD2B" w:rsidR="0060303B" w:rsidRPr="00A12635" w:rsidRDefault="004102B0" w:rsidP="00A12635">
      <w:r w:rsidRPr="00A94DBB">
        <w:drawing>
          <wp:anchor distT="0" distB="0" distL="114300" distR="114300" simplePos="0" relativeHeight="251658241" behindDoc="0" locked="0" layoutInCell="1" allowOverlap="1" wp14:anchorId="47051D1C" wp14:editId="11A5AC75">
            <wp:simplePos x="0" y="0"/>
            <wp:positionH relativeFrom="margin">
              <wp:posOffset>986928</wp:posOffset>
            </wp:positionH>
            <wp:positionV relativeFrom="margin">
              <wp:posOffset>1040130</wp:posOffset>
            </wp:positionV>
            <wp:extent cx="3566795" cy="3614420"/>
            <wp:effectExtent l="0" t="0" r="1905" b="5080"/>
            <wp:wrapSquare wrapText="bothSides"/>
            <wp:docPr id="22384157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41576" name="Imagen 1" descr="Tabla&#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3566795" cy="3614420"/>
                    </a:xfrm>
                    <a:prstGeom prst="rect">
                      <a:avLst/>
                    </a:prstGeom>
                  </pic:spPr>
                </pic:pic>
              </a:graphicData>
            </a:graphic>
            <wp14:sizeRelH relativeFrom="margin">
              <wp14:pctWidth>0</wp14:pctWidth>
            </wp14:sizeRelH>
            <wp14:sizeRelV relativeFrom="margin">
              <wp14:pctHeight>0</wp14:pctHeight>
            </wp14:sizeRelV>
          </wp:anchor>
        </w:drawing>
      </w:r>
    </w:p>
    <w:p w14:paraId="0A81E207" w14:textId="16A05538" w:rsidR="00050972" w:rsidRPr="00556B27" w:rsidRDefault="006A4A25" w:rsidP="00B007CB">
      <w:pPr>
        <w:pStyle w:val="Ttulo1"/>
        <w:ind w:left="360"/>
      </w:pPr>
      <w:r w:rsidRPr="00556B27">
        <w:t xml:space="preserve"> </w:t>
      </w:r>
    </w:p>
    <w:p w14:paraId="3F96756A" w14:textId="6F40C210" w:rsidR="00BB4AF5" w:rsidRPr="00556B27" w:rsidRDefault="00BB4AF5" w:rsidP="00BB4AF5">
      <w:pPr>
        <w:pStyle w:val="Prrafodelista"/>
      </w:pPr>
    </w:p>
    <w:p w14:paraId="7DAEF8AB" w14:textId="0F9F2C2B" w:rsidR="00BB4AF5" w:rsidRPr="00556B27" w:rsidRDefault="00BB4AF5" w:rsidP="00BB4AF5"/>
    <w:p w14:paraId="799A9930" w14:textId="131E75CE" w:rsidR="00C367D4" w:rsidRPr="00556B27" w:rsidRDefault="00C367D4" w:rsidP="00C367D4"/>
    <w:p w14:paraId="5531540B" w14:textId="40B90E30" w:rsidR="00CC68E5" w:rsidRPr="00556B27" w:rsidRDefault="00CC68E5" w:rsidP="009367AB"/>
    <w:p w14:paraId="3E7B75BF" w14:textId="33AC95F4" w:rsidR="00CC68E5" w:rsidRPr="00556B27" w:rsidRDefault="00CC68E5" w:rsidP="00E70790">
      <w:pPr>
        <w:pStyle w:val="Prrafodelista"/>
      </w:pPr>
    </w:p>
    <w:sectPr w:rsidR="00CC68E5" w:rsidRPr="00556B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gdlcoCCA" int2:invalidationBookmarkName="" int2:hashCode="UclzZo/9j9fL2z" int2:id="VzZKK1Q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A1E"/>
    <w:multiLevelType w:val="multilevel"/>
    <w:tmpl w:val="F38A7462"/>
    <w:lvl w:ilvl="0">
      <w:start w:val="6"/>
      <w:numFmt w:val="decimal"/>
      <w:lvlText w:val="%1"/>
      <w:lvlJc w:val="left"/>
      <w:pPr>
        <w:ind w:left="360" w:hanging="360"/>
      </w:pPr>
      <w:rPr>
        <w:rFonts w:hint="default"/>
      </w:rPr>
    </w:lvl>
    <w:lvl w:ilvl="1">
      <w:start w:val="2"/>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560" w:hanging="1440"/>
      </w:pPr>
      <w:rPr>
        <w:rFonts w:hint="default"/>
      </w:rPr>
    </w:lvl>
  </w:abstractNum>
  <w:abstractNum w:abstractNumId="1" w15:restartNumberingAfterBreak="0">
    <w:nsid w:val="03F4623F"/>
    <w:multiLevelType w:val="multilevel"/>
    <w:tmpl w:val="92DA36F0"/>
    <w:lvl w:ilvl="0">
      <w:start w:val="5"/>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560" w:hanging="1440"/>
      </w:pPr>
      <w:rPr>
        <w:rFonts w:hint="default"/>
      </w:rPr>
    </w:lvl>
  </w:abstractNum>
  <w:abstractNum w:abstractNumId="2" w15:restartNumberingAfterBreak="0">
    <w:nsid w:val="069405E9"/>
    <w:multiLevelType w:val="multilevel"/>
    <w:tmpl w:val="8C7AB9EE"/>
    <w:lvl w:ilvl="0">
      <w:start w:val="1"/>
      <w:numFmt w:val="decimal"/>
      <w:lvlText w:val="%1."/>
      <w:lvlJc w:val="left"/>
      <w:pPr>
        <w:ind w:left="360" w:hanging="360"/>
      </w:pPr>
      <w:rPr>
        <w:rFonts w:hint="default"/>
      </w:rPr>
    </w:lvl>
    <w:lvl w:ilvl="1">
      <w:start w:val="1"/>
      <w:numFmt w:val="decimal"/>
      <w:pStyle w:val="Subttul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84135"/>
    <w:multiLevelType w:val="hybridMultilevel"/>
    <w:tmpl w:val="A380EC5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84C6DF3"/>
    <w:multiLevelType w:val="hybridMultilevel"/>
    <w:tmpl w:val="A356C072"/>
    <w:lvl w:ilvl="0" w:tplc="484044CC">
      <w:start w:val="1"/>
      <w:numFmt w:val="upp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0C4F7505"/>
    <w:multiLevelType w:val="hybridMultilevel"/>
    <w:tmpl w:val="107233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43411AC"/>
    <w:multiLevelType w:val="hybridMultilevel"/>
    <w:tmpl w:val="7A78E5C6"/>
    <w:lvl w:ilvl="0" w:tplc="E43ECF1A">
      <w:start w:val="7"/>
      <w:numFmt w:val="upperRoman"/>
      <w:lvlText w:val="%1."/>
      <w:lvlJc w:val="left"/>
      <w:pPr>
        <w:ind w:left="860" w:hanging="720"/>
      </w:pPr>
      <w:rPr>
        <w:rFonts w:hint="default"/>
      </w:rPr>
    </w:lvl>
    <w:lvl w:ilvl="1" w:tplc="040A0019" w:tentative="1">
      <w:start w:val="1"/>
      <w:numFmt w:val="lowerLetter"/>
      <w:lvlText w:val="%2."/>
      <w:lvlJc w:val="left"/>
      <w:pPr>
        <w:ind w:left="1220" w:hanging="360"/>
      </w:pPr>
    </w:lvl>
    <w:lvl w:ilvl="2" w:tplc="040A001B" w:tentative="1">
      <w:start w:val="1"/>
      <w:numFmt w:val="lowerRoman"/>
      <w:lvlText w:val="%3."/>
      <w:lvlJc w:val="right"/>
      <w:pPr>
        <w:ind w:left="1940" w:hanging="180"/>
      </w:pPr>
    </w:lvl>
    <w:lvl w:ilvl="3" w:tplc="040A000F" w:tentative="1">
      <w:start w:val="1"/>
      <w:numFmt w:val="decimal"/>
      <w:lvlText w:val="%4."/>
      <w:lvlJc w:val="left"/>
      <w:pPr>
        <w:ind w:left="2660" w:hanging="360"/>
      </w:pPr>
    </w:lvl>
    <w:lvl w:ilvl="4" w:tplc="040A0019" w:tentative="1">
      <w:start w:val="1"/>
      <w:numFmt w:val="lowerLetter"/>
      <w:lvlText w:val="%5."/>
      <w:lvlJc w:val="left"/>
      <w:pPr>
        <w:ind w:left="3380" w:hanging="360"/>
      </w:pPr>
    </w:lvl>
    <w:lvl w:ilvl="5" w:tplc="040A001B" w:tentative="1">
      <w:start w:val="1"/>
      <w:numFmt w:val="lowerRoman"/>
      <w:lvlText w:val="%6."/>
      <w:lvlJc w:val="right"/>
      <w:pPr>
        <w:ind w:left="4100" w:hanging="180"/>
      </w:pPr>
    </w:lvl>
    <w:lvl w:ilvl="6" w:tplc="040A000F" w:tentative="1">
      <w:start w:val="1"/>
      <w:numFmt w:val="decimal"/>
      <w:lvlText w:val="%7."/>
      <w:lvlJc w:val="left"/>
      <w:pPr>
        <w:ind w:left="4820" w:hanging="360"/>
      </w:pPr>
    </w:lvl>
    <w:lvl w:ilvl="7" w:tplc="040A0019" w:tentative="1">
      <w:start w:val="1"/>
      <w:numFmt w:val="lowerLetter"/>
      <w:lvlText w:val="%8."/>
      <w:lvlJc w:val="left"/>
      <w:pPr>
        <w:ind w:left="5540" w:hanging="360"/>
      </w:pPr>
    </w:lvl>
    <w:lvl w:ilvl="8" w:tplc="040A001B" w:tentative="1">
      <w:start w:val="1"/>
      <w:numFmt w:val="lowerRoman"/>
      <w:lvlText w:val="%9."/>
      <w:lvlJc w:val="right"/>
      <w:pPr>
        <w:ind w:left="6260" w:hanging="180"/>
      </w:pPr>
    </w:lvl>
  </w:abstractNum>
  <w:abstractNum w:abstractNumId="7" w15:restartNumberingAfterBreak="0">
    <w:nsid w:val="31D02D7D"/>
    <w:multiLevelType w:val="hybridMultilevel"/>
    <w:tmpl w:val="37620C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41B1FF4"/>
    <w:multiLevelType w:val="multilevel"/>
    <w:tmpl w:val="C5EA2568"/>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624CB5"/>
    <w:multiLevelType w:val="hybridMultilevel"/>
    <w:tmpl w:val="9DB239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AC156F"/>
    <w:multiLevelType w:val="hybridMultilevel"/>
    <w:tmpl w:val="9DB239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1A1BCC"/>
    <w:multiLevelType w:val="hybridMultilevel"/>
    <w:tmpl w:val="FFFFFFFF"/>
    <w:lvl w:ilvl="0" w:tplc="4286957E">
      <w:start w:val="1"/>
      <w:numFmt w:val="bullet"/>
      <w:lvlText w:val=""/>
      <w:lvlJc w:val="left"/>
      <w:pPr>
        <w:ind w:left="720" w:hanging="360"/>
      </w:pPr>
      <w:rPr>
        <w:rFonts w:ascii="Symbol" w:hAnsi="Symbol" w:hint="default"/>
      </w:rPr>
    </w:lvl>
    <w:lvl w:ilvl="1" w:tplc="74C63692">
      <w:start w:val="1"/>
      <w:numFmt w:val="bullet"/>
      <w:lvlText w:val="o"/>
      <w:lvlJc w:val="left"/>
      <w:pPr>
        <w:ind w:left="1440" w:hanging="360"/>
      </w:pPr>
      <w:rPr>
        <w:rFonts w:ascii="Courier New" w:hAnsi="Courier New" w:hint="default"/>
      </w:rPr>
    </w:lvl>
    <w:lvl w:ilvl="2" w:tplc="06D452A4">
      <w:start w:val="1"/>
      <w:numFmt w:val="bullet"/>
      <w:lvlText w:val=""/>
      <w:lvlJc w:val="left"/>
      <w:pPr>
        <w:ind w:left="2160" w:hanging="360"/>
      </w:pPr>
      <w:rPr>
        <w:rFonts w:ascii="Wingdings" w:hAnsi="Wingdings" w:hint="default"/>
      </w:rPr>
    </w:lvl>
    <w:lvl w:ilvl="3" w:tplc="ED903406">
      <w:start w:val="1"/>
      <w:numFmt w:val="bullet"/>
      <w:lvlText w:val=""/>
      <w:lvlJc w:val="left"/>
      <w:pPr>
        <w:ind w:left="2880" w:hanging="360"/>
      </w:pPr>
      <w:rPr>
        <w:rFonts w:ascii="Symbol" w:hAnsi="Symbol" w:hint="default"/>
      </w:rPr>
    </w:lvl>
    <w:lvl w:ilvl="4" w:tplc="249852A0">
      <w:start w:val="1"/>
      <w:numFmt w:val="bullet"/>
      <w:lvlText w:val="o"/>
      <w:lvlJc w:val="left"/>
      <w:pPr>
        <w:ind w:left="3600" w:hanging="360"/>
      </w:pPr>
      <w:rPr>
        <w:rFonts w:ascii="Courier New" w:hAnsi="Courier New" w:hint="default"/>
      </w:rPr>
    </w:lvl>
    <w:lvl w:ilvl="5" w:tplc="31469F92">
      <w:start w:val="1"/>
      <w:numFmt w:val="bullet"/>
      <w:lvlText w:val=""/>
      <w:lvlJc w:val="left"/>
      <w:pPr>
        <w:ind w:left="4320" w:hanging="360"/>
      </w:pPr>
      <w:rPr>
        <w:rFonts w:ascii="Wingdings" w:hAnsi="Wingdings" w:hint="default"/>
      </w:rPr>
    </w:lvl>
    <w:lvl w:ilvl="6" w:tplc="3DFE8B28">
      <w:start w:val="1"/>
      <w:numFmt w:val="bullet"/>
      <w:lvlText w:val=""/>
      <w:lvlJc w:val="left"/>
      <w:pPr>
        <w:ind w:left="5040" w:hanging="360"/>
      </w:pPr>
      <w:rPr>
        <w:rFonts w:ascii="Symbol" w:hAnsi="Symbol" w:hint="default"/>
      </w:rPr>
    </w:lvl>
    <w:lvl w:ilvl="7" w:tplc="29E800FA">
      <w:start w:val="1"/>
      <w:numFmt w:val="bullet"/>
      <w:lvlText w:val="o"/>
      <w:lvlJc w:val="left"/>
      <w:pPr>
        <w:ind w:left="5760" w:hanging="360"/>
      </w:pPr>
      <w:rPr>
        <w:rFonts w:ascii="Courier New" w:hAnsi="Courier New" w:hint="default"/>
      </w:rPr>
    </w:lvl>
    <w:lvl w:ilvl="8" w:tplc="C12C4B2A">
      <w:start w:val="1"/>
      <w:numFmt w:val="bullet"/>
      <w:lvlText w:val=""/>
      <w:lvlJc w:val="left"/>
      <w:pPr>
        <w:ind w:left="6480" w:hanging="360"/>
      </w:pPr>
      <w:rPr>
        <w:rFonts w:ascii="Wingdings" w:hAnsi="Wingdings" w:hint="default"/>
      </w:rPr>
    </w:lvl>
  </w:abstractNum>
  <w:abstractNum w:abstractNumId="12" w15:restartNumberingAfterBreak="0">
    <w:nsid w:val="46C0645D"/>
    <w:multiLevelType w:val="multilevel"/>
    <w:tmpl w:val="69D0E9AA"/>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F041F10"/>
    <w:multiLevelType w:val="hybridMultilevel"/>
    <w:tmpl w:val="BA3E8668"/>
    <w:lvl w:ilvl="0" w:tplc="81C26DC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41F6588"/>
    <w:multiLevelType w:val="hybridMultilevel"/>
    <w:tmpl w:val="08C4B716"/>
    <w:lvl w:ilvl="0" w:tplc="135E7FD8">
      <w:start w:val="7"/>
      <w:numFmt w:val="upperRoman"/>
      <w:lvlText w:val="%1."/>
      <w:lvlJc w:val="left"/>
      <w:pPr>
        <w:ind w:left="1220" w:hanging="720"/>
      </w:pPr>
      <w:rPr>
        <w:rFonts w:hint="default"/>
      </w:r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15" w15:restartNumberingAfterBreak="0">
    <w:nsid w:val="63CF60AE"/>
    <w:multiLevelType w:val="hybridMultilevel"/>
    <w:tmpl w:val="FFFFFFFF"/>
    <w:lvl w:ilvl="0" w:tplc="01F6A640">
      <w:start w:val="1"/>
      <w:numFmt w:val="bullet"/>
      <w:lvlText w:val=""/>
      <w:lvlJc w:val="left"/>
      <w:pPr>
        <w:ind w:left="720" w:hanging="360"/>
      </w:pPr>
      <w:rPr>
        <w:rFonts w:ascii="Symbol" w:hAnsi="Symbol" w:hint="default"/>
      </w:rPr>
    </w:lvl>
    <w:lvl w:ilvl="1" w:tplc="97869E0C">
      <w:start w:val="1"/>
      <w:numFmt w:val="bullet"/>
      <w:lvlText w:val="o"/>
      <w:lvlJc w:val="left"/>
      <w:pPr>
        <w:ind w:left="1440" w:hanging="360"/>
      </w:pPr>
      <w:rPr>
        <w:rFonts w:ascii="Courier New" w:hAnsi="Courier New" w:hint="default"/>
      </w:rPr>
    </w:lvl>
    <w:lvl w:ilvl="2" w:tplc="BD6E9C9C">
      <w:start w:val="1"/>
      <w:numFmt w:val="bullet"/>
      <w:lvlText w:val=""/>
      <w:lvlJc w:val="left"/>
      <w:pPr>
        <w:ind w:left="2160" w:hanging="360"/>
      </w:pPr>
      <w:rPr>
        <w:rFonts w:ascii="Wingdings" w:hAnsi="Wingdings" w:hint="default"/>
      </w:rPr>
    </w:lvl>
    <w:lvl w:ilvl="3" w:tplc="B3066568">
      <w:start w:val="1"/>
      <w:numFmt w:val="bullet"/>
      <w:lvlText w:val=""/>
      <w:lvlJc w:val="left"/>
      <w:pPr>
        <w:ind w:left="2880" w:hanging="360"/>
      </w:pPr>
      <w:rPr>
        <w:rFonts w:ascii="Symbol" w:hAnsi="Symbol" w:hint="default"/>
      </w:rPr>
    </w:lvl>
    <w:lvl w:ilvl="4" w:tplc="CB7ABBA6">
      <w:start w:val="1"/>
      <w:numFmt w:val="bullet"/>
      <w:lvlText w:val="o"/>
      <w:lvlJc w:val="left"/>
      <w:pPr>
        <w:ind w:left="3600" w:hanging="360"/>
      </w:pPr>
      <w:rPr>
        <w:rFonts w:ascii="Courier New" w:hAnsi="Courier New" w:hint="default"/>
      </w:rPr>
    </w:lvl>
    <w:lvl w:ilvl="5" w:tplc="52EC77BE">
      <w:start w:val="1"/>
      <w:numFmt w:val="bullet"/>
      <w:lvlText w:val=""/>
      <w:lvlJc w:val="left"/>
      <w:pPr>
        <w:ind w:left="4320" w:hanging="360"/>
      </w:pPr>
      <w:rPr>
        <w:rFonts w:ascii="Wingdings" w:hAnsi="Wingdings" w:hint="default"/>
      </w:rPr>
    </w:lvl>
    <w:lvl w:ilvl="6" w:tplc="4686195A">
      <w:start w:val="1"/>
      <w:numFmt w:val="bullet"/>
      <w:lvlText w:val=""/>
      <w:lvlJc w:val="left"/>
      <w:pPr>
        <w:ind w:left="5040" w:hanging="360"/>
      </w:pPr>
      <w:rPr>
        <w:rFonts w:ascii="Symbol" w:hAnsi="Symbol" w:hint="default"/>
      </w:rPr>
    </w:lvl>
    <w:lvl w:ilvl="7" w:tplc="E22A2A8C">
      <w:start w:val="1"/>
      <w:numFmt w:val="bullet"/>
      <w:lvlText w:val="o"/>
      <w:lvlJc w:val="left"/>
      <w:pPr>
        <w:ind w:left="5760" w:hanging="360"/>
      </w:pPr>
      <w:rPr>
        <w:rFonts w:ascii="Courier New" w:hAnsi="Courier New" w:hint="default"/>
      </w:rPr>
    </w:lvl>
    <w:lvl w:ilvl="8" w:tplc="CBC26388">
      <w:start w:val="1"/>
      <w:numFmt w:val="bullet"/>
      <w:lvlText w:val=""/>
      <w:lvlJc w:val="left"/>
      <w:pPr>
        <w:ind w:left="6480" w:hanging="360"/>
      </w:pPr>
      <w:rPr>
        <w:rFonts w:ascii="Wingdings" w:hAnsi="Wingdings" w:hint="default"/>
      </w:rPr>
    </w:lvl>
  </w:abstractNum>
  <w:num w:numId="1" w16cid:durableId="1748260200">
    <w:abstractNumId w:val="9"/>
  </w:num>
  <w:num w:numId="2" w16cid:durableId="110126959">
    <w:abstractNumId w:val="10"/>
  </w:num>
  <w:num w:numId="3" w16cid:durableId="1758552096">
    <w:abstractNumId w:val="2"/>
  </w:num>
  <w:num w:numId="4" w16cid:durableId="210653840">
    <w:abstractNumId w:val="8"/>
  </w:num>
  <w:num w:numId="5" w16cid:durableId="115223565">
    <w:abstractNumId w:val="7"/>
  </w:num>
  <w:num w:numId="6" w16cid:durableId="1887835204">
    <w:abstractNumId w:val="4"/>
  </w:num>
  <w:num w:numId="7" w16cid:durableId="1085807058">
    <w:abstractNumId w:val="13"/>
  </w:num>
  <w:num w:numId="8" w16cid:durableId="98723483">
    <w:abstractNumId w:val="12"/>
  </w:num>
  <w:num w:numId="9" w16cid:durableId="870843715">
    <w:abstractNumId w:val="3"/>
  </w:num>
  <w:num w:numId="10" w16cid:durableId="1215699895">
    <w:abstractNumId w:val="1"/>
  </w:num>
  <w:num w:numId="11" w16cid:durableId="556012544">
    <w:abstractNumId w:val="0"/>
  </w:num>
  <w:num w:numId="12" w16cid:durableId="934940942">
    <w:abstractNumId w:val="14"/>
  </w:num>
  <w:num w:numId="13" w16cid:durableId="568733017">
    <w:abstractNumId w:val="6"/>
  </w:num>
  <w:num w:numId="14" w16cid:durableId="165831824">
    <w:abstractNumId w:val="15"/>
  </w:num>
  <w:num w:numId="15" w16cid:durableId="433212512">
    <w:abstractNumId w:val="11"/>
  </w:num>
  <w:num w:numId="16" w16cid:durableId="1717391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69"/>
    <w:rsid w:val="00004B22"/>
    <w:rsid w:val="00035E05"/>
    <w:rsid w:val="00041A7C"/>
    <w:rsid w:val="00050972"/>
    <w:rsid w:val="000724B6"/>
    <w:rsid w:val="000951F7"/>
    <w:rsid w:val="00097677"/>
    <w:rsid w:val="000B737A"/>
    <w:rsid w:val="000C6664"/>
    <w:rsid w:val="000C729C"/>
    <w:rsid w:val="000F63B0"/>
    <w:rsid w:val="00106ACC"/>
    <w:rsid w:val="001136D1"/>
    <w:rsid w:val="00176761"/>
    <w:rsid w:val="00176986"/>
    <w:rsid w:val="00181DB8"/>
    <w:rsid w:val="001C2765"/>
    <w:rsid w:val="001D28A0"/>
    <w:rsid w:val="001E341B"/>
    <w:rsid w:val="001F57B6"/>
    <w:rsid w:val="00207872"/>
    <w:rsid w:val="002628F8"/>
    <w:rsid w:val="00262F53"/>
    <w:rsid w:val="00277C27"/>
    <w:rsid w:val="00293087"/>
    <w:rsid w:val="002A5397"/>
    <w:rsid w:val="003075E1"/>
    <w:rsid w:val="00317CFF"/>
    <w:rsid w:val="00350F8B"/>
    <w:rsid w:val="00361095"/>
    <w:rsid w:val="003A3C6C"/>
    <w:rsid w:val="003A3DBE"/>
    <w:rsid w:val="003C218B"/>
    <w:rsid w:val="003C518C"/>
    <w:rsid w:val="003C54C6"/>
    <w:rsid w:val="003E1965"/>
    <w:rsid w:val="00403E22"/>
    <w:rsid w:val="004102B0"/>
    <w:rsid w:val="00446776"/>
    <w:rsid w:val="00474E0E"/>
    <w:rsid w:val="004829B2"/>
    <w:rsid w:val="00496D46"/>
    <w:rsid w:val="004A43BB"/>
    <w:rsid w:val="004D10E6"/>
    <w:rsid w:val="004D1324"/>
    <w:rsid w:val="00510A70"/>
    <w:rsid w:val="00554311"/>
    <w:rsid w:val="00556B27"/>
    <w:rsid w:val="00582217"/>
    <w:rsid w:val="005828AC"/>
    <w:rsid w:val="00595088"/>
    <w:rsid w:val="005A3669"/>
    <w:rsid w:val="005F2101"/>
    <w:rsid w:val="005F51C1"/>
    <w:rsid w:val="0060303B"/>
    <w:rsid w:val="00632090"/>
    <w:rsid w:val="006605F1"/>
    <w:rsid w:val="006662F5"/>
    <w:rsid w:val="00674891"/>
    <w:rsid w:val="006A1A18"/>
    <w:rsid w:val="006A4A25"/>
    <w:rsid w:val="006B3FCD"/>
    <w:rsid w:val="006B5A2D"/>
    <w:rsid w:val="0070611A"/>
    <w:rsid w:val="00731BF7"/>
    <w:rsid w:val="007322B0"/>
    <w:rsid w:val="00761342"/>
    <w:rsid w:val="00780092"/>
    <w:rsid w:val="00785D6B"/>
    <w:rsid w:val="007875A3"/>
    <w:rsid w:val="007C2376"/>
    <w:rsid w:val="007CFF65"/>
    <w:rsid w:val="007D38BC"/>
    <w:rsid w:val="007F7472"/>
    <w:rsid w:val="00801F2C"/>
    <w:rsid w:val="00813D97"/>
    <w:rsid w:val="0084072C"/>
    <w:rsid w:val="00867F2B"/>
    <w:rsid w:val="00875D70"/>
    <w:rsid w:val="008770DC"/>
    <w:rsid w:val="008A0BF6"/>
    <w:rsid w:val="008A7FD2"/>
    <w:rsid w:val="008B6FAA"/>
    <w:rsid w:val="008D1D91"/>
    <w:rsid w:val="0091254D"/>
    <w:rsid w:val="0091256B"/>
    <w:rsid w:val="0092088E"/>
    <w:rsid w:val="009253C7"/>
    <w:rsid w:val="009367AB"/>
    <w:rsid w:val="00943530"/>
    <w:rsid w:val="00954AD3"/>
    <w:rsid w:val="00964AAD"/>
    <w:rsid w:val="00972042"/>
    <w:rsid w:val="00982523"/>
    <w:rsid w:val="009842E3"/>
    <w:rsid w:val="009A6CF7"/>
    <w:rsid w:val="009E602D"/>
    <w:rsid w:val="00A12635"/>
    <w:rsid w:val="00A94DBB"/>
    <w:rsid w:val="00A950CE"/>
    <w:rsid w:val="00B007CB"/>
    <w:rsid w:val="00B0416B"/>
    <w:rsid w:val="00B321B0"/>
    <w:rsid w:val="00B46308"/>
    <w:rsid w:val="00B77FD6"/>
    <w:rsid w:val="00BA1D5B"/>
    <w:rsid w:val="00BB4AF5"/>
    <w:rsid w:val="00BB5B29"/>
    <w:rsid w:val="00BF691D"/>
    <w:rsid w:val="00C011E3"/>
    <w:rsid w:val="00C1110A"/>
    <w:rsid w:val="00C17747"/>
    <w:rsid w:val="00C367D4"/>
    <w:rsid w:val="00C476E2"/>
    <w:rsid w:val="00C66F8C"/>
    <w:rsid w:val="00C7239A"/>
    <w:rsid w:val="00C91F3C"/>
    <w:rsid w:val="00CC68E5"/>
    <w:rsid w:val="00CD4ECD"/>
    <w:rsid w:val="00D05EC0"/>
    <w:rsid w:val="00D14625"/>
    <w:rsid w:val="00D260F5"/>
    <w:rsid w:val="00D424B0"/>
    <w:rsid w:val="00D5442A"/>
    <w:rsid w:val="00D64CF0"/>
    <w:rsid w:val="00D64E0F"/>
    <w:rsid w:val="00D76308"/>
    <w:rsid w:val="00DB0951"/>
    <w:rsid w:val="00DB1ADE"/>
    <w:rsid w:val="00E106B9"/>
    <w:rsid w:val="00E4105E"/>
    <w:rsid w:val="00E70790"/>
    <w:rsid w:val="00E7407F"/>
    <w:rsid w:val="00E768A8"/>
    <w:rsid w:val="00E87721"/>
    <w:rsid w:val="00EC1C22"/>
    <w:rsid w:val="00EC7957"/>
    <w:rsid w:val="00EF17D5"/>
    <w:rsid w:val="00F0474F"/>
    <w:rsid w:val="00F255E4"/>
    <w:rsid w:val="00F836E5"/>
    <w:rsid w:val="00FC0A7C"/>
    <w:rsid w:val="00FC344E"/>
    <w:rsid w:val="06707BB7"/>
    <w:rsid w:val="0C8BFD22"/>
    <w:rsid w:val="11D1B390"/>
    <w:rsid w:val="136E7C1F"/>
    <w:rsid w:val="13EA6132"/>
    <w:rsid w:val="19923607"/>
    <w:rsid w:val="1A3EBC65"/>
    <w:rsid w:val="37F16EE8"/>
    <w:rsid w:val="3B36136E"/>
    <w:rsid w:val="3E3F94FC"/>
    <w:rsid w:val="4A923FC8"/>
    <w:rsid w:val="4CC3E255"/>
    <w:rsid w:val="4F1D90A2"/>
    <w:rsid w:val="581318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FA74"/>
  <w15:chartTrackingRefBased/>
  <w15:docId w15:val="{86B64632-3ACD-2D41-B391-2388858D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90"/>
    <w:pPr>
      <w:jc w:val="both"/>
    </w:pPr>
  </w:style>
  <w:style w:type="paragraph" w:styleId="Ttulo1">
    <w:name w:val="heading 1"/>
    <w:basedOn w:val="Normal"/>
    <w:next w:val="Normal"/>
    <w:link w:val="Ttulo1Car"/>
    <w:uiPriority w:val="9"/>
    <w:qFormat/>
    <w:rsid w:val="00867F2B"/>
    <w:pPr>
      <w:keepNext/>
      <w:keepLines/>
      <w:spacing w:before="240" w:after="0"/>
      <w:outlineLvl w:val="0"/>
    </w:pPr>
    <w:rPr>
      <w:rFonts w:asciiTheme="majorHAnsi" w:eastAsiaTheme="majorEastAsia" w:hAnsiTheme="majorHAnsi" w:cstheme="majorBidi"/>
      <w:b/>
      <w:bCs/>
      <w:color w:val="000000" w:themeColor="text1"/>
      <w:sz w:val="36"/>
      <w:szCs w:val="36"/>
    </w:rPr>
  </w:style>
  <w:style w:type="paragraph" w:styleId="Ttulo2">
    <w:name w:val="heading 2"/>
    <w:basedOn w:val="Normal"/>
    <w:next w:val="Normal"/>
    <w:link w:val="Ttulo2Car"/>
    <w:uiPriority w:val="9"/>
    <w:unhideWhenUsed/>
    <w:qFormat/>
    <w:rsid w:val="009720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7F2B"/>
    <w:rPr>
      <w:rFonts w:asciiTheme="majorHAnsi" w:eastAsiaTheme="majorEastAsia" w:hAnsiTheme="majorHAnsi" w:cstheme="majorBidi"/>
      <w:b/>
      <w:bCs/>
      <w:color w:val="000000" w:themeColor="text1"/>
      <w:sz w:val="36"/>
      <w:szCs w:val="36"/>
    </w:rPr>
  </w:style>
  <w:style w:type="paragraph" w:styleId="Ttulo">
    <w:name w:val="Title"/>
    <w:basedOn w:val="Normal"/>
    <w:next w:val="Normal"/>
    <w:link w:val="TtuloCar"/>
    <w:uiPriority w:val="10"/>
    <w:qFormat/>
    <w:rsid w:val="005A3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3669"/>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5A3669"/>
    <w:pPr>
      <w:ind w:left="720"/>
      <w:contextualSpacing/>
    </w:pPr>
  </w:style>
  <w:style w:type="character" w:customStyle="1" w:styleId="Ttulo2Car">
    <w:name w:val="Título 2 Car"/>
    <w:basedOn w:val="Fuentedeprrafopredeter"/>
    <w:link w:val="Ttulo2"/>
    <w:uiPriority w:val="9"/>
    <w:rsid w:val="00972042"/>
    <w:rPr>
      <w:rFonts w:asciiTheme="majorHAnsi" w:eastAsiaTheme="majorEastAsia" w:hAnsiTheme="majorHAnsi" w:cstheme="majorBidi"/>
      <w:color w:val="2F5496" w:themeColor="accent1" w:themeShade="BF"/>
      <w:sz w:val="26"/>
      <w:szCs w:val="26"/>
    </w:rPr>
  </w:style>
  <w:style w:type="paragraph" w:styleId="Subttulo">
    <w:name w:val="Subtitle"/>
    <w:basedOn w:val="Normal"/>
    <w:next w:val="Normal"/>
    <w:link w:val="SubttuloCar"/>
    <w:uiPriority w:val="11"/>
    <w:qFormat/>
    <w:rsid w:val="00D424B0"/>
    <w:pPr>
      <w:numPr>
        <w:ilvl w:val="1"/>
        <w:numId w:val="3"/>
      </w:numPr>
    </w:pPr>
    <w:rPr>
      <w:rFonts w:eastAsiaTheme="minorEastAsia"/>
      <w:b/>
      <w:bCs/>
      <w:color w:val="000000" w:themeColor="text1"/>
      <w:spacing w:val="15"/>
    </w:rPr>
  </w:style>
  <w:style w:type="character" w:customStyle="1" w:styleId="SubttuloCar">
    <w:name w:val="Subtítulo Car"/>
    <w:basedOn w:val="Fuentedeprrafopredeter"/>
    <w:link w:val="Subttulo"/>
    <w:uiPriority w:val="11"/>
    <w:rsid w:val="00D424B0"/>
    <w:rPr>
      <w:rFonts w:eastAsiaTheme="minorEastAsia"/>
      <w:b/>
      <w:bCs/>
      <w:color w:val="000000" w:themeColor="text1"/>
      <w:spacing w:val="15"/>
    </w:rPr>
  </w:style>
  <w:style w:type="numbering" w:customStyle="1" w:styleId="Listaactual1">
    <w:name w:val="Lista actual1"/>
    <w:uiPriority w:val="99"/>
    <w:rsid w:val="008770DC"/>
    <w:pPr>
      <w:numPr>
        <w:numId w:val="4"/>
      </w:numPr>
    </w:pPr>
  </w:style>
  <w:style w:type="character" w:styleId="Hipervnculo">
    <w:name w:val="Hyperlink"/>
    <w:basedOn w:val="Fuentedeprrafopredeter"/>
    <w:uiPriority w:val="99"/>
    <w:unhideWhenUsed/>
    <w:rsid w:val="00C7239A"/>
    <w:rPr>
      <w:color w:val="0563C1" w:themeColor="hyperlink"/>
      <w:u w:val="single"/>
    </w:rPr>
  </w:style>
  <w:style w:type="character" w:styleId="Mencinsinresolver">
    <w:name w:val="Unresolved Mention"/>
    <w:basedOn w:val="Fuentedeprrafopredeter"/>
    <w:uiPriority w:val="99"/>
    <w:semiHidden/>
    <w:unhideWhenUsed/>
    <w:rsid w:val="004A43BB"/>
    <w:rPr>
      <w:color w:val="605E5C"/>
      <w:shd w:val="clear" w:color="auto" w:fill="E1DFDD"/>
    </w:rPr>
  </w:style>
  <w:style w:type="character" w:styleId="Hipervnculovisitado">
    <w:name w:val="FollowedHyperlink"/>
    <w:basedOn w:val="Fuentedeprrafopredeter"/>
    <w:uiPriority w:val="99"/>
    <w:semiHidden/>
    <w:unhideWhenUsed/>
    <w:rsid w:val="001D2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6982">
      <w:bodyDiv w:val="1"/>
      <w:marLeft w:val="0"/>
      <w:marRight w:val="0"/>
      <w:marTop w:val="0"/>
      <w:marBottom w:val="0"/>
      <w:divBdr>
        <w:top w:val="none" w:sz="0" w:space="0" w:color="auto"/>
        <w:left w:val="none" w:sz="0" w:space="0" w:color="auto"/>
        <w:bottom w:val="none" w:sz="0" w:space="0" w:color="auto"/>
        <w:right w:val="none" w:sz="0" w:space="0" w:color="auto"/>
      </w:divBdr>
    </w:div>
    <w:div w:id="821849417">
      <w:bodyDiv w:val="1"/>
      <w:marLeft w:val="0"/>
      <w:marRight w:val="0"/>
      <w:marTop w:val="0"/>
      <w:marBottom w:val="0"/>
      <w:divBdr>
        <w:top w:val="none" w:sz="0" w:space="0" w:color="auto"/>
        <w:left w:val="none" w:sz="0" w:space="0" w:color="auto"/>
        <w:bottom w:val="none" w:sz="0" w:space="0" w:color="auto"/>
        <w:right w:val="none" w:sz="0" w:space="0" w:color="auto"/>
      </w:divBdr>
    </w:div>
    <w:div w:id="135203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europa.eu/publications/transport-and-environment-report-2022/transport-and-environment-report/view" TargetMode="External"/><Relationship Id="rId13" Type="http://schemas.openxmlformats.org/officeDocument/2006/relationships/hyperlink" Target="https://unfccc.int/es/process-and-meetings/the-convention/que-es-la-convencion-marco-de-las-naciones-unidas-sobre-el-cambio-climati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ea.org/reports/world-energy-outlook-2023?language=es" TargetMode="External"/><Relationship Id="rId12" Type="http://schemas.openxmlformats.org/officeDocument/2006/relationships/hyperlink" Target="https://unfccc.int/es/process-and-meetings/the-paris-agreement/el-acuerdo-de-pari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consilium.europa.eu/es/policies/clean-and-sustainable-mobility"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nfccc.int/process/the-kyoto-protocol/the-doha-amendment" TargetMode="External"/><Relationship Id="rId5" Type="http://schemas.openxmlformats.org/officeDocument/2006/relationships/webSettings" Target="webSettings.xml"/><Relationship Id="rId15" Type="http://schemas.openxmlformats.org/officeDocument/2006/relationships/hyperlink" Target="https://www.miteco.gob.es/es/prensa/pniec.html" TargetMode="External"/><Relationship Id="rId10" Type="http://schemas.openxmlformats.org/officeDocument/2006/relationships/hyperlink" Target="https://www.futuredriven.eu/wp-content/uploads/2023/12/ACEA_FutureDriven_Manifesto.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ea.org/reports/the-role-of-e-fuels-in-decarbonising-transport" TargetMode="External"/><Relationship Id="rId14" Type="http://schemas.openxmlformats.org/officeDocument/2006/relationships/hyperlink" Target="https://eur-lex.europa.eu/legal-content/ES/TXT/HTML/?uri=CELEX:52016DC0501&amp;from=n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263599-C14E-3D4A-8288-A2F00C5C1A45}">
  <we:reference id="ed452a3f-c68b-45d7-8f96-72f52fc3dfc3" version="1.0.0.9" store="EXCatalog" storeType="EXCatalog"/>
  <we:alternateReferences>
    <we:reference id="WA104381727" version="1.0.0.9"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B0C0-0C66-854D-A3A2-E7394608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2347</Words>
  <Characters>12914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15231</CharactersWithSpaces>
  <SharedDoc>false</SharedDoc>
  <HLinks>
    <vt:vector size="60" baseType="variant">
      <vt:variant>
        <vt:i4>2687032</vt:i4>
      </vt:variant>
      <vt:variant>
        <vt:i4>30</vt:i4>
      </vt:variant>
      <vt:variant>
        <vt:i4>0</vt:i4>
      </vt:variant>
      <vt:variant>
        <vt:i4>5</vt:i4>
      </vt:variant>
      <vt:variant>
        <vt:lpwstr>https://www.consilium.europa.eu/es/policies/clean-and-sustainable-mobility</vt:lpwstr>
      </vt:variant>
      <vt:variant>
        <vt:lpwstr/>
      </vt:variant>
      <vt:variant>
        <vt:i4>6488174</vt:i4>
      </vt:variant>
      <vt:variant>
        <vt:i4>27</vt:i4>
      </vt:variant>
      <vt:variant>
        <vt:i4>0</vt:i4>
      </vt:variant>
      <vt:variant>
        <vt:i4>5</vt:i4>
      </vt:variant>
      <vt:variant>
        <vt:lpwstr>https://www.miteco.gob.es/es/prensa/pniec.html</vt:lpwstr>
      </vt:variant>
      <vt:variant>
        <vt:lpwstr/>
      </vt:variant>
      <vt:variant>
        <vt:i4>8257659</vt:i4>
      </vt:variant>
      <vt:variant>
        <vt:i4>24</vt:i4>
      </vt:variant>
      <vt:variant>
        <vt:i4>0</vt:i4>
      </vt:variant>
      <vt:variant>
        <vt:i4>5</vt:i4>
      </vt:variant>
      <vt:variant>
        <vt:lpwstr>https://eur-lex.europa.eu/legal-content/ES/TXT/HTML/?uri=CELEX:52016DC0501&amp;from=nl</vt:lpwstr>
      </vt:variant>
      <vt:variant>
        <vt:lpwstr/>
      </vt:variant>
      <vt:variant>
        <vt:i4>5177372</vt:i4>
      </vt:variant>
      <vt:variant>
        <vt:i4>21</vt:i4>
      </vt:variant>
      <vt:variant>
        <vt:i4>0</vt:i4>
      </vt:variant>
      <vt:variant>
        <vt:i4>5</vt:i4>
      </vt:variant>
      <vt:variant>
        <vt:lpwstr>https://unfccc.int/es/process-and-meetings/the-convention/que-es-la-convencion-marco-de-las-naciones-unidas-sobre-el-cambio-climatico</vt:lpwstr>
      </vt:variant>
      <vt:variant>
        <vt:lpwstr/>
      </vt:variant>
      <vt:variant>
        <vt:i4>3932259</vt:i4>
      </vt:variant>
      <vt:variant>
        <vt:i4>18</vt:i4>
      </vt:variant>
      <vt:variant>
        <vt:i4>0</vt:i4>
      </vt:variant>
      <vt:variant>
        <vt:i4>5</vt:i4>
      </vt:variant>
      <vt:variant>
        <vt:lpwstr>https://unfccc.int/es/process-and-meetings/the-paris-agreement/el-acuerdo-de-paris</vt:lpwstr>
      </vt:variant>
      <vt:variant>
        <vt:lpwstr/>
      </vt:variant>
      <vt:variant>
        <vt:i4>1769550</vt:i4>
      </vt:variant>
      <vt:variant>
        <vt:i4>15</vt:i4>
      </vt:variant>
      <vt:variant>
        <vt:i4>0</vt:i4>
      </vt:variant>
      <vt:variant>
        <vt:i4>5</vt:i4>
      </vt:variant>
      <vt:variant>
        <vt:lpwstr>https://unfccc.int/process/the-kyoto-protocol/the-doha-amendment</vt:lpwstr>
      </vt:variant>
      <vt:variant>
        <vt:lpwstr/>
      </vt:variant>
      <vt:variant>
        <vt:i4>4980828</vt:i4>
      </vt:variant>
      <vt:variant>
        <vt:i4>12</vt:i4>
      </vt:variant>
      <vt:variant>
        <vt:i4>0</vt:i4>
      </vt:variant>
      <vt:variant>
        <vt:i4>5</vt:i4>
      </vt:variant>
      <vt:variant>
        <vt:lpwstr>https://www.futuredriven.eu/wp-content/uploads/2023/12/ACEA_FutureDriven_Manifesto.pdf</vt:lpwstr>
      </vt:variant>
      <vt:variant>
        <vt:lpwstr/>
      </vt:variant>
      <vt:variant>
        <vt:i4>7667824</vt:i4>
      </vt:variant>
      <vt:variant>
        <vt:i4>9</vt:i4>
      </vt:variant>
      <vt:variant>
        <vt:i4>0</vt:i4>
      </vt:variant>
      <vt:variant>
        <vt:i4>5</vt:i4>
      </vt:variant>
      <vt:variant>
        <vt:lpwstr>https://www.iea.org/reports/the-role-of-e-fuels-in-decarbonising-transport</vt:lpwstr>
      </vt:variant>
      <vt:variant>
        <vt:lpwstr/>
      </vt:variant>
      <vt:variant>
        <vt:i4>4063350</vt:i4>
      </vt:variant>
      <vt:variant>
        <vt:i4>6</vt:i4>
      </vt:variant>
      <vt:variant>
        <vt:i4>0</vt:i4>
      </vt:variant>
      <vt:variant>
        <vt:i4>5</vt:i4>
      </vt:variant>
      <vt:variant>
        <vt:lpwstr>https://www.eea.europa.eu/publications/transport-and-environment-report-2022/transport-and-environment-report/view</vt:lpwstr>
      </vt:variant>
      <vt:variant>
        <vt:lpwstr/>
      </vt:variant>
      <vt:variant>
        <vt:i4>196637</vt:i4>
      </vt:variant>
      <vt:variant>
        <vt:i4>3</vt:i4>
      </vt:variant>
      <vt:variant>
        <vt:i4>0</vt:i4>
      </vt:variant>
      <vt:variant>
        <vt:i4>5</vt:i4>
      </vt:variant>
      <vt:variant>
        <vt:lpwstr>https://www.iea.org/reports/world-energy-outlook-2023?language=es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Velazquez Castro</dc:creator>
  <cp:keywords/>
  <dc:description/>
  <cp:lastModifiedBy>JUAN MANUEL VELÁZQUEZ CASTRO</cp:lastModifiedBy>
  <cp:revision>2</cp:revision>
  <dcterms:created xsi:type="dcterms:W3CDTF">2024-01-09T22:33:00Z</dcterms:created>
  <dcterms:modified xsi:type="dcterms:W3CDTF">2024-01-09T22:33:00Z</dcterms:modified>
</cp:coreProperties>
</file>